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9090E" w14:textId="77777777" w:rsidR="00FC7C8C" w:rsidRPr="00E1597E" w:rsidRDefault="00FC7C8C" w:rsidP="00FC7C8C">
      <w:pPr>
        <w:widowControl w:val="0"/>
        <w:spacing w:after="0" w:line="286" w:lineRule="auto"/>
        <w:jc w:val="center"/>
        <w:rPr>
          <w:rFonts w:asciiTheme="minorHAnsi" w:hAnsiTheme="minorHAnsi" w:cstheme="minorHAnsi"/>
          <w:i/>
          <w:iCs/>
          <w14:ligatures w14:val="none"/>
        </w:rPr>
      </w:pPr>
      <w:r w:rsidRPr="00E1597E">
        <w:rPr>
          <w:rFonts w:asciiTheme="minorHAnsi" w:hAnsiTheme="minorHAnsi" w:cstheme="minorHAnsi"/>
          <w:i/>
          <w:iCs/>
          <w14:ligatures w14:val="none"/>
        </w:rPr>
        <w:t>Kidney Health Australia’s Primary Care Education P</w:t>
      </w:r>
      <w:r>
        <w:rPr>
          <w:rFonts w:asciiTheme="minorHAnsi" w:hAnsiTheme="minorHAnsi" w:cstheme="minorHAnsi"/>
          <w:i/>
          <w:iCs/>
          <w14:ligatures w14:val="none"/>
        </w:rPr>
        <w:t xml:space="preserve">rogram in partnership with Far West Local Health District and Western NSW Primary Health Network </w:t>
      </w:r>
      <w:r w:rsidRPr="00E1597E">
        <w:rPr>
          <w:rFonts w:asciiTheme="minorHAnsi" w:hAnsiTheme="minorHAnsi" w:cstheme="minorHAnsi"/>
          <w:i/>
          <w:iCs/>
          <w14:ligatures w14:val="none"/>
        </w:rPr>
        <w:t xml:space="preserve">is pleased to present an interactive case </w:t>
      </w:r>
      <w:proofErr w:type="gramStart"/>
      <w:r w:rsidRPr="00E1597E">
        <w:rPr>
          <w:rFonts w:asciiTheme="minorHAnsi" w:hAnsiTheme="minorHAnsi" w:cstheme="minorHAnsi"/>
          <w:i/>
          <w:iCs/>
          <w14:ligatures w14:val="none"/>
        </w:rPr>
        <w:t>study based</w:t>
      </w:r>
      <w:proofErr w:type="gramEnd"/>
      <w:r w:rsidRPr="00E1597E">
        <w:rPr>
          <w:rFonts w:asciiTheme="minorHAnsi" w:hAnsiTheme="minorHAnsi" w:cstheme="minorHAnsi"/>
          <w:i/>
          <w:iCs/>
          <w14:ligatures w14:val="none"/>
        </w:rPr>
        <w:t xml:space="preserve"> workshop</w:t>
      </w:r>
    </w:p>
    <w:p w14:paraId="519D2BC9" w14:textId="77777777" w:rsidR="00FC7C8C" w:rsidRDefault="00FC7C8C" w:rsidP="00FC7C8C">
      <w:pPr>
        <w:widowControl w:val="0"/>
        <w:jc w:val="center"/>
        <w:rPr>
          <w:rFonts w:asciiTheme="minorHAnsi" w:hAnsiTheme="minorHAnsi" w:cstheme="minorHAnsi"/>
          <w:b/>
          <w:i/>
          <w:color w:val="FF0000"/>
          <w:sz w:val="48"/>
          <w:szCs w:val="48"/>
          <w14:ligatures w14:val="none"/>
        </w:rPr>
      </w:pPr>
      <w:r w:rsidRPr="00E1597E">
        <w:rPr>
          <w:rFonts w:asciiTheme="minorHAnsi" w:hAnsiTheme="minorHAnsi" w:cstheme="minorHAnsi"/>
          <w:b/>
          <w:i/>
          <w:color w:val="FF0000"/>
          <w:sz w:val="48"/>
          <w:szCs w:val="48"/>
          <w14:ligatures w14:val="none"/>
        </w:rPr>
        <w:t>‘</w:t>
      </w:r>
      <w:r>
        <w:rPr>
          <w:rFonts w:asciiTheme="minorHAnsi" w:hAnsiTheme="minorHAnsi" w:cstheme="minorHAnsi"/>
          <w:b/>
          <w:i/>
          <w:color w:val="FF0000"/>
          <w:sz w:val="48"/>
          <w:szCs w:val="48"/>
          <w14:ligatures w14:val="none"/>
        </w:rPr>
        <w:t>Detecting and Managing Chronic Kidney Disease’</w:t>
      </w:r>
    </w:p>
    <w:p w14:paraId="15A5A5B9" w14:textId="77777777" w:rsidR="00CF050A" w:rsidRPr="002F5E22" w:rsidRDefault="00FC7C8C" w:rsidP="00B32809">
      <w:pPr>
        <w:rPr>
          <w:sz w:val="22"/>
          <w:szCs w:val="22"/>
          <w:lang w:val="en-US"/>
        </w:rPr>
      </w:pPr>
      <w:r w:rsidRPr="002F5E22">
        <w:rPr>
          <w:sz w:val="22"/>
          <w:szCs w:val="22"/>
          <w:lang w:val="en-US"/>
        </w:rPr>
        <w:t>Chronic Kidney Disease (CKD) presents a significant health problem in Australia.  One in three Australian adults is at increased risk of developing CKD due to identified risk factors including age, high blood pressure and diabetes.  A person can lose up to 90% of their kidney function before experiencing any symptoms.  The usual setting for initial assessment and diagnosis of CKD is in general practice.  Providing education on detection and management of CKD to Primary Health Care professionals will improve outcomes for individuals living with CKD and reduce the burden of CKD in the community</w:t>
      </w:r>
      <w:r w:rsidR="00B32809">
        <w:rPr>
          <w:sz w:val="22"/>
          <w:szCs w:val="22"/>
          <w:lang w:val="en-US"/>
        </w:rPr>
        <w:t>.</w:t>
      </w:r>
    </w:p>
    <w:p w14:paraId="0ED36CAC" w14:textId="77777777" w:rsidR="002F5E22" w:rsidRPr="002F5E22" w:rsidRDefault="002F5E22" w:rsidP="002F5E22">
      <w:pPr>
        <w:widowControl w:val="0"/>
        <w:spacing w:line="240" w:lineRule="auto"/>
        <w:ind w:firstLine="720"/>
        <w:rPr>
          <w:rFonts w:asciiTheme="minorHAnsi" w:hAnsiTheme="minorHAnsi" w:cstheme="minorHAnsi"/>
          <w:b/>
          <w:bCs/>
          <w:sz w:val="28"/>
          <w:szCs w:val="24"/>
          <w14:ligatures w14:val="none"/>
        </w:rPr>
      </w:pPr>
      <w:r w:rsidRPr="002F5E22">
        <w:rPr>
          <w:rFonts w:asciiTheme="minorHAnsi" w:hAnsiTheme="minorHAnsi" w:cstheme="minorHAnsi"/>
          <w:b/>
          <w:bCs/>
          <w:sz w:val="28"/>
          <w:szCs w:val="24"/>
          <w14:ligatures w14:val="none"/>
        </w:rPr>
        <w:t>Date:</w:t>
      </w:r>
      <w:r w:rsidRPr="002F5E22">
        <w:rPr>
          <w:rFonts w:asciiTheme="minorHAnsi" w:hAnsiTheme="minorHAnsi" w:cstheme="minorHAnsi"/>
          <w:b/>
          <w:bCs/>
          <w:sz w:val="28"/>
          <w:szCs w:val="24"/>
          <w14:ligatures w14:val="none"/>
        </w:rPr>
        <w:tab/>
      </w:r>
      <w:r w:rsidRPr="002F5E22">
        <w:rPr>
          <w:rFonts w:asciiTheme="minorHAnsi" w:hAnsiTheme="minorHAnsi" w:cstheme="minorHAnsi"/>
          <w:b/>
          <w:bCs/>
          <w:sz w:val="28"/>
          <w:szCs w:val="24"/>
          <w14:ligatures w14:val="none"/>
        </w:rPr>
        <w:tab/>
      </w:r>
      <w:r w:rsidRPr="002F5E22">
        <w:rPr>
          <w:rFonts w:asciiTheme="minorHAnsi" w:hAnsiTheme="minorHAnsi" w:cstheme="minorHAnsi"/>
          <w:b/>
          <w:bCs/>
          <w:sz w:val="28"/>
          <w:szCs w:val="24"/>
          <w14:ligatures w14:val="none"/>
        </w:rPr>
        <w:tab/>
      </w:r>
      <w:r>
        <w:rPr>
          <w:rFonts w:asciiTheme="minorHAnsi" w:hAnsiTheme="minorHAnsi" w:cstheme="minorHAnsi"/>
          <w:b/>
          <w:bCs/>
          <w:sz w:val="28"/>
          <w:szCs w:val="24"/>
          <w14:ligatures w14:val="none"/>
        </w:rPr>
        <w:tab/>
      </w:r>
      <w:r w:rsidRPr="002F5E22">
        <w:rPr>
          <w:rFonts w:asciiTheme="minorHAnsi" w:hAnsiTheme="minorHAnsi" w:cstheme="minorHAnsi"/>
          <w:b/>
          <w:bCs/>
          <w:sz w:val="28"/>
          <w:szCs w:val="24"/>
          <w14:ligatures w14:val="none"/>
        </w:rPr>
        <w:t>Tuesday 11th February 2020</w:t>
      </w:r>
    </w:p>
    <w:p w14:paraId="5FFCBA61" w14:textId="77777777" w:rsidR="002F5E22" w:rsidRDefault="002F5E22" w:rsidP="002F5E22">
      <w:pPr>
        <w:ind w:firstLine="720"/>
        <w:rPr>
          <w:lang w:val="en-US"/>
        </w:rPr>
      </w:pPr>
      <w:r w:rsidRPr="002F5E22">
        <w:rPr>
          <w:rFonts w:asciiTheme="minorHAnsi" w:hAnsiTheme="minorHAnsi" w:cstheme="minorHAnsi"/>
          <w:b/>
          <w:bCs/>
          <w:sz w:val="28"/>
          <w:szCs w:val="24"/>
          <w14:ligatures w14:val="none"/>
        </w:rPr>
        <w:t xml:space="preserve">Time: </w:t>
      </w:r>
      <w:r w:rsidRPr="002F5E22">
        <w:rPr>
          <w:rFonts w:asciiTheme="minorHAnsi" w:hAnsiTheme="minorHAnsi" w:cstheme="minorHAnsi"/>
          <w:b/>
          <w:bCs/>
          <w:sz w:val="28"/>
          <w:szCs w:val="24"/>
          <w14:ligatures w14:val="none"/>
        </w:rPr>
        <w:tab/>
      </w:r>
      <w:r>
        <w:rPr>
          <w:lang w:val="en-US"/>
        </w:rPr>
        <w:tab/>
      </w:r>
      <w:r>
        <w:rPr>
          <w:lang w:val="en-US"/>
        </w:rPr>
        <w:tab/>
      </w:r>
      <w:r>
        <w:rPr>
          <w:lang w:val="en-US"/>
        </w:rPr>
        <w:tab/>
      </w:r>
      <w:r w:rsidRPr="002F5E22">
        <w:rPr>
          <w:rFonts w:asciiTheme="minorHAnsi" w:hAnsiTheme="minorHAnsi" w:cstheme="minorHAnsi"/>
          <w:i/>
          <w:sz w:val="28"/>
          <w:szCs w:val="22"/>
          <w14:ligatures w14:val="none"/>
        </w:rPr>
        <w:t>6.00pm registration for a 6.30-8.30pm workshop</w:t>
      </w:r>
    </w:p>
    <w:p w14:paraId="7D870868" w14:textId="77777777" w:rsidR="002F5E22" w:rsidRPr="002F5E22" w:rsidRDefault="002F5E22" w:rsidP="002F5E22">
      <w:pPr>
        <w:ind w:firstLine="720"/>
        <w:rPr>
          <w:rFonts w:asciiTheme="minorHAnsi" w:hAnsiTheme="minorHAnsi" w:cstheme="minorHAnsi"/>
          <w:i/>
          <w:sz w:val="28"/>
          <w:szCs w:val="22"/>
          <w14:ligatures w14:val="none"/>
        </w:rPr>
      </w:pPr>
      <w:r w:rsidRPr="002F5E22">
        <w:rPr>
          <w:rFonts w:asciiTheme="minorHAnsi" w:hAnsiTheme="minorHAnsi" w:cstheme="minorHAnsi"/>
          <w:b/>
          <w:bCs/>
          <w:sz w:val="28"/>
          <w:szCs w:val="24"/>
          <w14:ligatures w14:val="none"/>
        </w:rPr>
        <w:t>Venue:</w:t>
      </w:r>
      <w:r w:rsidRPr="002F5E22">
        <w:rPr>
          <w:rFonts w:asciiTheme="minorHAnsi" w:hAnsiTheme="minorHAnsi" w:cstheme="minorHAnsi"/>
          <w:b/>
          <w:bCs/>
          <w:sz w:val="28"/>
          <w:szCs w:val="24"/>
          <w14:ligatures w14:val="none"/>
        </w:rPr>
        <w:tab/>
      </w:r>
      <w:r>
        <w:rPr>
          <w:lang w:val="en-US"/>
        </w:rPr>
        <w:tab/>
      </w:r>
      <w:r>
        <w:rPr>
          <w:lang w:val="en-US"/>
        </w:rPr>
        <w:tab/>
      </w:r>
      <w:r w:rsidRPr="002F5E22">
        <w:rPr>
          <w:rFonts w:asciiTheme="minorHAnsi" w:hAnsiTheme="minorHAnsi" w:cstheme="minorHAnsi"/>
          <w:i/>
          <w:sz w:val="28"/>
          <w:szCs w:val="22"/>
          <w14:ligatures w14:val="none"/>
        </w:rPr>
        <w:t>Broken Hill Musicians Club, 276 Crystal Street</w:t>
      </w:r>
    </w:p>
    <w:p w14:paraId="405A7092" w14:textId="77777777" w:rsidR="002F5E22" w:rsidRPr="002F5E22" w:rsidRDefault="002F5E22" w:rsidP="002F5E22">
      <w:pPr>
        <w:ind w:firstLine="720"/>
        <w:rPr>
          <w:rFonts w:asciiTheme="minorHAnsi" w:hAnsiTheme="minorHAnsi" w:cstheme="minorHAnsi"/>
          <w:i/>
          <w:sz w:val="28"/>
          <w:szCs w:val="22"/>
          <w14:ligatures w14:val="none"/>
        </w:rPr>
      </w:pPr>
      <w:r w:rsidRPr="002F5E22">
        <w:rPr>
          <w:rFonts w:asciiTheme="minorHAnsi" w:hAnsiTheme="minorHAnsi" w:cstheme="minorHAnsi"/>
          <w:b/>
          <w:bCs/>
          <w:sz w:val="28"/>
          <w:szCs w:val="24"/>
          <w14:ligatures w14:val="none"/>
        </w:rPr>
        <w:t xml:space="preserve">Presented </w:t>
      </w:r>
      <w:proofErr w:type="gramStart"/>
      <w:r w:rsidRPr="002F5E22">
        <w:rPr>
          <w:rFonts w:asciiTheme="minorHAnsi" w:hAnsiTheme="minorHAnsi" w:cstheme="minorHAnsi"/>
          <w:b/>
          <w:bCs/>
          <w:sz w:val="28"/>
          <w:szCs w:val="24"/>
          <w14:ligatures w14:val="none"/>
        </w:rPr>
        <w:t>by:</w:t>
      </w:r>
      <w:proofErr w:type="gramEnd"/>
      <w:r w:rsidRPr="002F5E22">
        <w:rPr>
          <w:rFonts w:asciiTheme="minorHAnsi" w:hAnsiTheme="minorHAnsi" w:cstheme="minorHAnsi"/>
          <w:b/>
          <w:bCs/>
          <w:sz w:val="28"/>
          <w:szCs w:val="24"/>
          <w14:ligatures w14:val="none"/>
        </w:rPr>
        <w:t xml:space="preserve"> </w:t>
      </w:r>
      <w:r w:rsidRPr="002F5E22">
        <w:rPr>
          <w:rFonts w:asciiTheme="minorHAnsi" w:hAnsiTheme="minorHAnsi" w:cstheme="minorHAnsi"/>
          <w:b/>
          <w:bCs/>
          <w:sz w:val="28"/>
          <w:szCs w:val="24"/>
          <w14:ligatures w14:val="none"/>
        </w:rPr>
        <w:tab/>
      </w:r>
      <w:r>
        <w:rPr>
          <w:lang w:val="en-US"/>
        </w:rPr>
        <w:tab/>
      </w:r>
      <w:r w:rsidRPr="002F5E22">
        <w:rPr>
          <w:rFonts w:asciiTheme="minorHAnsi" w:hAnsiTheme="minorHAnsi" w:cstheme="minorHAnsi"/>
          <w:i/>
          <w:sz w:val="28"/>
          <w:szCs w:val="22"/>
          <w14:ligatures w14:val="none"/>
        </w:rPr>
        <w:t>Dr Samantha Bateman, visiting Nephrologist FWLHD</w:t>
      </w:r>
    </w:p>
    <w:p w14:paraId="689D755E" w14:textId="77777777" w:rsidR="002F5E22" w:rsidRPr="002F5E22" w:rsidRDefault="002F5E22" w:rsidP="00B32809">
      <w:pPr>
        <w:spacing w:line="286" w:lineRule="auto"/>
        <w:rPr>
          <w:sz w:val="22"/>
          <w:szCs w:val="22"/>
        </w:rPr>
      </w:pPr>
      <w:r w:rsidRPr="002F5E22">
        <w:rPr>
          <w:sz w:val="22"/>
          <w:szCs w:val="22"/>
        </w:rPr>
        <w:t>Dr Samantha Bateman is a Nephrologist and General Physician with the Central and Northern Area Renal and Transplant Service at The Royal Adelaide Hospital, she has a special interest in Aboriginal and Torres Strait Islander health, and in achieving best outcomes for all people, particularly those living in rural and remote communities.</w:t>
      </w:r>
    </w:p>
    <w:p w14:paraId="7BAC794D" w14:textId="77777777" w:rsidR="000E7BF1" w:rsidRDefault="002F5E22" w:rsidP="002A17D4">
      <w:pPr>
        <w:tabs>
          <w:tab w:val="left" w:pos="7875"/>
        </w:tabs>
        <w:spacing w:after="0"/>
        <w:rPr>
          <w:rFonts w:asciiTheme="minorHAnsi" w:hAnsiTheme="minorHAnsi" w:cstheme="minorHAnsi"/>
          <w:b/>
          <w:i/>
          <w:color w:val="FF0000"/>
          <w:sz w:val="28"/>
          <w:szCs w:val="28"/>
          <w14:ligatures w14:val="none"/>
        </w:rPr>
      </w:pPr>
      <w:r w:rsidRPr="000E7BF1">
        <w:rPr>
          <w:rFonts w:asciiTheme="minorHAnsi" w:hAnsiTheme="minorHAnsi" w:cstheme="minorHAnsi"/>
          <w:b/>
          <w:i/>
          <w:color w:val="FF0000"/>
          <w:sz w:val="28"/>
          <w:szCs w:val="28"/>
          <w14:ligatures w14:val="none"/>
        </w:rPr>
        <w:t>Learning Outcomes</w:t>
      </w:r>
    </w:p>
    <w:tbl>
      <w:tblPr>
        <w:tblW w:w="8908" w:type="dxa"/>
        <w:tblLook w:val="04A0" w:firstRow="1" w:lastRow="0" w:firstColumn="1" w:lastColumn="0" w:noHBand="0" w:noVBand="1"/>
      </w:tblPr>
      <w:tblGrid>
        <w:gridCol w:w="8908"/>
      </w:tblGrid>
      <w:tr w:rsidR="000E7BF1" w:rsidRPr="00E1597E" w14:paraId="6371BEEB" w14:textId="77777777" w:rsidTr="004D4C7D">
        <w:trPr>
          <w:trHeight w:val="255"/>
        </w:trPr>
        <w:tc>
          <w:tcPr>
            <w:tcW w:w="8908" w:type="dxa"/>
            <w:tcBorders>
              <w:top w:val="nil"/>
              <w:left w:val="nil"/>
              <w:bottom w:val="nil"/>
              <w:right w:val="nil"/>
            </w:tcBorders>
            <w:shd w:val="clear" w:color="auto" w:fill="auto"/>
            <w:vAlign w:val="center"/>
            <w:hideMark/>
          </w:tcPr>
          <w:p w14:paraId="22B67D3B" w14:textId="77777777" w:rsidR="000E7BF1" w:rsidRPr="000E7BF1" w:rsidRDefault="000E7BF1" w:rsidP="000E7BF1">
            <w:pPr>
              <w:pStyle w:val="ListParagraph"/>
              <w:numPr>
                <w:ilvl w:val="0"/>
                <w:numId w:val="3"/>
              </w:numPr>
              <w:spacing w:after="0" w:line="240" w:lineRule="auto"/>
              <w:rPr>
                <w:rFonts w:asciiTheme="minorHAnsi" w:hAnsiTheme="minorHAnsi" w:cstheme="minorHAnsi"/>
                <w:sz w:val="22"/>
                <w:szCs w:val="22"/>
              </w:rPr>
            </w:pPr>
            <w:r w:rsidRPr="000E7BF1">
              <w:rPr>
                <w:rFonts w:asciiTheme="minorHAnsi" w:hAnsiTheme="minorHAnsi" w:cstheme="minorHAnsi"/>
                <w:sz w:val="22"/>
                <w:szCs w:val="22"/>
              </w:rPr>
              <w:t>Describe the elements of the assessment for Chronic Kidney Disease (Kidney Health Check)</w:t>
            </w:r>
          </w:p>
          <w:p w14:paraId="4DEEF675" w14:textId="77777777" w:rsidR="000E7BF1" w:rsidRPr="000E7BF1" w:rsidRDefault="000E7BF1" w:rsidP="000E7BF1">
            <w:pPr>
              <w:pStyle w:val="ListParagraph"/>
              <w:numPr>
                <w:ilvl w:val="0"/>
                <w:numId w:val="3"/>
              </w:numPr>
              <w:spacing w:after="0" w:line="240" w:lineRule="auto"/>
              <w:rPr>
                <w:rFonts w:asciiTheme="minorHAnsi" w:hAnsiTheme="minorHAnsi" w:cstheme="minorHAnsi"/>
                <w:sz w:val="22"/>
                <w:szCs w:val="22"/>
              </w:rPr>
            </w:pPr>
            <w:r w:rsidRPr="000E7BF1">
              <w:rPr>
                <w:rFonts w:asciiTheme="minorHAnsi" w:hAnsiTheme="minorHAnsi" w:cstheme="minorHAnsi"/>
                <w:sz w:val="22"/>
                <w:szCs w:val="22"/>
              </w:rPr>
              <w:t>Outline the recommendations for a kidney health check</w:t>
            </w:r>
          </w:p>
        </w:tc>
      </w:tr>
      <w:tr w:rsidR="000E7BF1" w:rsidRPr="00E1597E" w14:paraId="6F93AE0B" w14:textId="77777777" w:rsidTr="004D4C7D">
        <w:trPr>
          <w:trHeight w:val="255"/>
        </w:trPr>
        <w:tc>
          <w:tcPr>
            <w:tcW w:w="8908" w:type="dxa"/>
            <w:tcBorders>
              <w:top w:val="nil"/>
              <w:left w:val="nil"/>
              <w:bottom w:val="nil"/>
              <w:right w:val="nil"/>
            </w:tcBorders>
            <w:shd w:val="clear" w:color="auto" w:fill="auto"/>
            <w:vAlign w:val="center"/>
          </w:tcPr>
          <w:p w14:paraId="1DB6241A" w14:textId="77777777" w:rsidR="000E7BF1" w:rsidRPr="000E7BF1" w:rsidRDefault="000E7BF1" w:rsidP="002A17D4">
            <w:pPr>
              <w:pStyle w:val="ListParagraph"/>
              <w:numPr>
                <w:ilvl w:val="0"/>
                <w:numId w:val="3"/>
              </w:numPr>
              <w:spacing w:line="240" w:lineRule="auto"/>
              <w:rPr>
                <w:rFonts w:asciiTheme="minorHAnsi" w:hAnsiTheme="minorHAnsi" w:cstheme="minorHAnsi"/>
                <w:sz w:val="22"/>
                <w:szCs w:val="22"/>
              </w:rPr>
            </w:pPr>
            <w:r w:rsidRPr="000E7BF1">
              <w:rPr>
                <w:rFonts w:asciiTheme="minorHAnsi" w:hAnsiTheme="minorHAnsi" w:cstheme="minorHAnsi"/>
                <w:sz w:val="22"/>
                <w:szCs w:val="22"/>
              </w:rPr>
              <w:t>Define the treatment options to delay progression of kidney disease</w:t>
            </w:r>
          </w:p>
        </w:tc>
      </w:tr>
    </w:tbl>
    <w:p w14:paraId="0F88C978" w14:textId="77777777" w:rsidR="000E7BF1" w:rsidRPr="00E1597E" w:rsidRDefault="000E7BF1" w:rsidP="000E7BF1">
      <w:pPr>
        <w:widowControl w:val="0"/>
        <w:spacing w:after="0"/>
        <w:rPr>
          <w:rFonts w:asciiTheme="minorHAnsi" w:hAnsiTheme="minorHAnsi" w:cstheme="minorHAnsi"/>
          <w:b/>
          <w:i/>
          <w:color w:val="FF0000"/>
          <w:sz w:val="28"/>
          <w:szCs w:val="36"/>
          <w14:ligatures w14:val="none"/>
        </w:rPr>
      </w:pPr>
      <w:r w:rsidRPr="00E1597E">
        <w:rPr>
          <w:rFonts w:asciiTheme="minorHAnsi" w:hAnsiTheme="minorHAnsi" w:cstheme="minorHAnsi"/>
          <w:b/>
          <w:i/>
          <w:color w:val="FF0000"/>
          <w:sz w:val="28"/>
          <w:szCs w:val="36"/>
          <w14:ligatures w14:val="none"/>
        </w:rPr>
        <w:t>Activity accreditation</w:t>
      </w:r>
    </w:p>
    <w:p w14:paraId="0DA5C29C" w14:textId="77777777" w:rsidR="000E7BF1" w:rsidRPr="000E7BF1" w:rsidRDefault="000E7BF1" w:rsidP="000E7BF1">
      <w:pPr>
        <w:pStyle w:val="ListParagraph"/>
        <w:widowControl w:val="0"/>
        <w:numPr>
          <w:ilvl w:val="0"/>
          <w:numId w:val="4"/>
        </w:numPr>
        <w:spacing w:after="0"/>
        <w:ind w:left="426"/>
        <w:rPr>
          <w:rFonts w:asciiTheme="minorHAnsi" w:hAnsiTheme="minorHAnsi" w:cstheme="minorHAnsi"/>
          <w:iCs/>
          <w:sz w:val="22"/>
          <w:szCs w:val="22"/>
          <w14:ligatures w14:val="none"/>
        </w:rPr>
      </w:pPr>
      <w:r w:rsidRPr="000E7BF1">
        <w:rPr>
          <w:rFonts w:asciiTheme="minorHAnsi" w:hAnsiTheme="minorHAnsi" w:cstheme="minorHAnsi"/>
          <w:iCs/>
          <w:sz w:val="22"/>
          <w:szCs w:val="22"/>
          <w14:ligatures w14:val="none"/>
        </w:rPr>
        <w:t>This workshop is developed and endorsed by the Primary Care Education Advisory Committee for KHA</w:t>
      </w:r>
    </w:p>
    <w:p w14:paraId="2B278F20" w14:textId="7F591CE5" w:rsidR="000E7BF1" w:rsidRPr="000E7BF1" w:rsidRDefault="000E7BF1" w:rsidP="002A17D4">
      <w:pPr>
        <w:pStyle w:val="ListParagraph"/>
        <w:widowControl w:val="0"/>
        <w:numPr>
          <w:ilvl w:val="0"/>
          <w:numId w:val="4"/>
        </w:numPr>
        <w:ind w:left="426"/>
        <w:rPr>
          <w:rFonts w:asciiTheme="minorHAnsi" w:hAnsiTheme="minorHAnsi" w:cstheme="minorHAnsi"/>
          <w:iCs/>
          <w:sz w:val="22"/>
          <w:szCs w:val="22"/>
          <w14:ligatures w14:val="none"/>
        </w:rPr>
      </w:pPr>
      <w:r w:rsidRPr="000E7BF1">
        <w:rPr>
          <w:rFonts w:asciiTheme="minorHAnsi" w:hAnsiTheme="minorHAnsi" w:cstheme="minorHAnsi"/>
          <w:iCs/>
          <w:sz w:val="22"/>
          <w:szCs w:val="22"/>
          <w14:ligatures w14:val="none"/>
        </w:rPr>
        <w:t xml:space="preserve">RACGP and ACRRM Accreditation </w:t>
      </w:r>
      <w:r w:rsidR="00DB7BE2">
        <w:rPr>
          <w:rFonts w:asciiTheme="minorHAnsi" w:hAnsiTheme="minorHAnsi" w:cstheme="minorHAnsi"/>
          <w:iCs/>
          <w:sz w:val="22"/>
          <w:szCs w:val="22"/>
          <w14:ligatures w14:val="none"/>
        </w:rPr>
        <w:t>will</w:t>
      </w:r>
      <w:r w:rsidRPr="000E7BF1">
        <w:rPr>
          <w:rFonts w:asciiTheme="minorHAnsi" w:hAnsiTheme="minorHAnsi" w:cstheme="minorHAnsi"/>
          <w:iCs/>
          <w:sz w:val="22"/>
          <w:szCs w:val="22"/>
          <w14:ligatures w14:val="none"/>
        </w:rPr>
        <w:t xml:space="preserve"> be applied for and is pending</w:t>
      </w:r>
    </w:p>
    <w:p w14:paraId="27AA77CC" w14:textId="77777777" w:rsidR="000E7BF1" w:rsidRDefault="000E7BF1" w:rsidP="002A17D4">
      <w:pPr>
        <w:tabs>
          <w:tab w:val="left" w:pos="7875"/>
        </w:tabs>
        <w:spacing w:after="0"/>
        <w:rPr>
          <w:rFonts w:asciiTheme="minorHAnsi" w:hAnsiTheme="minorHAnsi" w:cstheme="minorHAnsi"/>
          <w:i/>
          <w:iCs/>
          <w:color w:val="FF0000"/>
          <w:sz w:val="22"/>
          <w:szCs w:val="22"/>
          <w14:ligatures w14:val="none"/>
        </w:rPr>
      </w:pPr>
      <w:r w:rsidRPr="000A5F62">
        <w:rPr>
          <w:rFonts w:asciiTheme="minorHAnsi" w:hAnsiTheme="minorHAnsi" w:cstheme="minorHAnsi"/>
          <w:noProof/>
        </w:rPr>
        <w:drawing>
          <wp:anchor distT="0" distB="0" distL="114300" distR="114300" simplePos="0" relativeHeight="251659264" behindDoc="1" locked="0" layoutInCell="1" allowOverlap="1" wp14:anchorId="29F62F81" wp14:editId="648931F7">
            <wp:simplePos x="0" y="0"/>
            <wp:positionH relativeFrom="margin">
              <wp:posOffset>2098040</wp:posOffset>
            </wp:positionH>
            <wp:positionV relativeFrom="paragraph">
              <wp:posOffset>132080</wp:posOffset>
            </wp:positionV>
            <wp:extent cx="1504950" cy="417731"/>
            <wp:effectExtent l="0" t="0" r="0" b="0"/>
            <wp:wrapNone/>
            <wp:docPr id="8" name="Picture 8" descr="C:\Users\natalie.welsh\AppData\Local\Microsoft\Windows\Temporary Internet Files\Content.Outlook\SBJKRMSZ\MIGA  120 Year logo - Positiv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talie.welsh\AppData\Local\Microsoft\Windows\Temporary Internet Files\Content.Outlook\SBJKRMSZ\MIGA  120 Year logo - Positive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4177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091B">
        <w:rPr>
          <w:rFonts w:asciiTheme="minorHAnsi" w:hAnsiTheme="minorHAnsi" w:cstheme="minorHAnsi"/>
          <w:b/>
          <w:i/>
          <w:color w:val="FF0000"/>
          <w:sz w:val="28"/>
          <w:szCs w:val="36"/>
          <w14:ligatures w14:val="none"/>
        </w:rPr>
        <w:t>Sponsors</w:t>
      </w:r>
      <w:r>
        <w:rPr>
          <w:rFonts w:asciiTheme="minorHAnsi" w:hAnsiTheme="minorHAnsi" w:cstheme="minorHAnsi"/>
          <w:i/>
          <w:iCs/>
          <w:color w:val="FF0000"/>
          <w:sz w:val="22"/>
          <w:szCs w:val="22"/>
          <w14:ligatures w14:val="none"/>
        </w:rPr>
        <w:tab/>
      </w:r>
    </w:p>
    <w:p w14:paraId="51C2974A" w14:textId="77777777" w:rsidR="000E7BF1" w:rsidRPr="000E7BF1" w:rsidRDefault="000E7BF1" w:rsidP="003D5646">
      <w:pPr>
        <w:tabs>
          <w:tab w:val="left" w:pos="4110"/>
        </w:tabs>
        <w:spacing w:after="360"/>
        <w:rPr>
          <w:rFonts w:asciiTheme="minorHAnsi" w:hAnsiTheme="minorHAnsi" w:cstheme="minorHAnsi"/>
          <w:sz w:val="28"/>
          <w:szCs w:val="28"/>
        </w:rPr>
      </w:pPr>
      <w:r>
        <w:rPr>
          <w:rFonts w:asciiTheme="minorHAnsi" w:hAnsiTheme="minorHAnsi" w:cstheme="minorHAnsi"/>
          <w:i/>
          <w:iCs/>
          <w:sz w:val="22"/>
          <w:szCs w:val="22"/>
          <w14:ligatures w14:val="none"/>
        </w:rPr>
        <w:t>This session is kindly sponsored by:</w:t>
      </w:r>
      <w:r w:rsidRPr="000E7BF1">
        <w:rPr>
          <w:rFonts w:asciiTheme="minorHAnsi" w:hAnsiTheme="minorHAnsi" w:cstheme="minorHAnsi"/>
          <w:noProof/>
        </w:rPr>
        <w:t xml:space="preserve"> </w:t>
      </w:r>
      <w:r w:rsidR="003D5646">
        <w:rPr>
          <w:rFonts w:asciiTheme="minorHAnsi" w:hAnsiTheme="minorHAnsi" w:cstheme="minorHAnsi"/>
          <w:noProof/>
        </w:rPr>
        <w:tab/>
      </w:r>
    </w:p>
    <w:p w14:paraId="3132C4FB" w14:textId="77777777" w:rsidR="002F5E22" w:rsidRPr="002A17D4" w:rsidRDefault="000E7BF1" w:rsidP="000E7BF1">
      <w:pPr>
        <w:tabs>
          <w:tab w:val="left" w:pos="7875"/>
        </w:tabs>
        <w:jc w:val="center"/>
        <w:rPr>
          <w:rFonts w:asciiTheme="minorHAnsi" w:hAnsiTheme="minorHAnsi" w:cstheme="minorHAnsi"/>
          <w:sz w:val="32"/>
          <w:szCs w:val="32"/>
        </w:rPr>
      </w:pPr>
      <w:r w:rsidRPr="002A17D4">
        <w:rPr>
          <w:rFonts w:asciiTheme="minorHAnsi" w:hAnsiTheme="minorHAnsi" w:cstheme="minorHAnsi"/>
          <w:b/>
          <w:bCs/>
          <w:sz w:val="32"/>
          <w:szCs w:val="32"/>
          <w14:ligatures w14:val="none"/>
        </w:rPr>
        <w:t>RSVP:  Friday 7th February 2020</w:t>
      </w:r>
    </w:p>
    <w:p w14:paraId="03BB9586" w14:textId="77777777" w:rsidR="002F5E22" w:rsidRDefault="000E7BF1" w:rsidP="002A17D4">
      <w:pPr>
        <w:spacing w:after="0"/>
      </w:pPr>
      <w:r w:rsidRPr="000E7BF1">
        <w:rPr>
          <w:rFonts w:asciiTheme="minorHAnsi" w:hAnsiTheme="minorHAnsi" w:cstheme="minorHAnsi"/>
          <w:b/>
          <w:i/>
          <w:color w:val="FF0000"/>
          <w:sz w:val="28"/>
          <w:szCs w:val="36"/>
          <w14:ligatures w14:val="none"/>
        </w:rPr>
        <w:t>Online</w:t>
      </w:r>
      <w:r>
        <w:rPr>
          <w:rFonts w:asciiTheme="minorHAnsi" w:hAnsiTheme="minorHAnsi" w:cstheme="minorHAnsi"/>
          <w:b/>
          <w:bCs/>
          <w:sz w:val="28"/>
          <w:szCs w:val="24"/>
          <w14:ligatures w14:val="none"/>
        </w:rPr>
        <w:t xml:space="preserve"> </w:t>
      </w:r>
      <w:r w:rsidRPr="000E7BF1">
        <w:rPr>
          <w:rFonts w:asciiTheme="minorHAnsi" w:hAnsiTheme="minorHAnsi" w:cstheme="minorHAnsi"/>
          <w:b/>
          <w:i/>
          <w:color w:val="FF0000"/>
          <w:sz w:val="28"/>
          <w:szCs w:val="36"/>
          <w14:ligatures w14:val="none"/>
        </w:rPr>
        <w:t>Registration</w:t>
      </w:r>
      <w:r w:rsidR="00D4357D">
        <w:rPr>
          <w:rFonts w:asciiTheme="minorHAnsi" w:hAnsiTheme="minorHAnsi" w:cstheme="minorHAnsi"/>
          <w:b/>
          <w:i/>
          <w:color w:val="FF0000"/>
          <w:sz w:val="28"/>
          <w:szCs w:val="36"/>
          <w14:ligatures w14:val="none"/>
        </w:rPr>
        <w:t xml:space="preserve"> – registration for GPs</w:t>
      </w:r>
      <w:r w:rsidR="00A9775E">
        <w:rPr>
          <w:rFonts w:asciiTheme="minorHAnsi" w:hAnsiTheme="minorHAnsi" w:cstheme="minorHAnsi"/>
          <w:b/>
          <w:i/>
          <w:color w:val="FF0000"/>
          <w:sz w:val="28"/>
          <w:szCs w:val="36"/>
          <w14:ligatures w14:val="none"/>
        </w:rPr>
        <w:t xml:space="preserve">, Registrars and Medical Students </w:t>
      </w:r>
      <w:r w:rsidR="00A9775E" w:rsidRPr="00A9775E">
        <w:rPr>
          <w:rFonts w:asciiTheme="minorHAnsi" w:hAnsiTheme="minorHAnsi" w:cstheme="minorHAnsi"/>
          <w:b/>
          <w:i/>
          <w:color w:val="FF0000"/>
          <w:sz w:val="28"/>
          <w:szCs w:val="36"/>
          <w:u w:val="single"/>
          <w14:ligatures w14:val="none"/>
        </w:rPr>
        <w:t>ONLY</w:t>
      </w:r>
    </w:p>
    <w:p w14:paraId="542C5607" w14:textId="77777777" w:rsidR="001E22B8" w:rsidRDefault="001E22B8" w:rsidP="000E7BF1">
      <w:pPr>
        <w:spacing w:after="0" w:line="286" w:lineRule="auto"/>
      </w:pPr>
      <w:hyperlink r:id="rId9" w:history="1">
        <w:r>
          <w:rPr>
            <w:rStyle w:val="Hyperlink"/>
          </w:rPr>
          <w:t>https://www.wnswphn.org.au/calendar/67/817-Broken-Hill-Detecting-and-Managing-Chronic-Kidney-Disease</w:t>
        </w:r>
      </w:hyperlink>
    </w:p>
    <w:p w14:paraId="67FA8BF6" w14:textId="084B84A5" w:rsidR="000E7BF1" w:rsidRPr="002A17D4" w:rsidRDefault="000E7BF1" w:rsidP="000E7BF1">
      <w:pPr>
        <w:spacing w:after="0" w:line="286" w:lineRule="auto"/>
        <w:rPr>
          <w:rFonts w:asciiTheme="minorHAnsi" w:hAnsiTheme="minorHAnsi" w:cstheme="minorHAnsi"/>
          <w:b/>
          <w:bCs/>
          <w:sz w:val="28"/>
          <w:szCs w:val="24"/>
          <w14:ligatures w14:val="none"/>
        </w:rPr>
      </w:pPr>
      <w:bookmarkStart w:id="0" w:name="_GoBack"/>
      <w:bookmarkEnd w:id="0"/>
      <w:r w:rsidRPr="002A17D4">
        <w:rPr>
          <w:rFonts w:asciiTheme="minorHAnsi" w:hAnsiTheme="minorHAnsi" w:cstheme="minorHAnsi"/>
          <w:b/>
          <w:i/>
          <w:color w:val="FF0000"/>
          <w:sz w:val="28"/>
          <w:szCs w:val="36"/>
          <w14:ligatures w14:val="none"/>
        </w:rPr>
        <w:t>Further</w:t>
      </w:r>
      <w:r>
        <w:rPr>
          <w:rFonts w:asciiTheme="minorHAnsi" w:hAnsiTheme="minorHAnsi" w:cstheme="minorHAnsi"/>
          <w:b/>
          <w:bCs/>
          <w:sz w:val="28"/>
          <w:szCs w:val="24"/>
          <w14:ligatures w14:val="none"/>
        </w:rPr>
        <w:t xml:space="preserve"> </w:t>
      </w:r>
      <w:r w:rsidR="002A17D4" w:rsidRPr="002A17D4">
        <w:rPr>
          <w:rFonts w:asciiTheme="minorHAnsi" w:hAnsiTheme="minorHAnsi" w:cstheme="minorHAnsi"/>
          <w:b/>
          <w:i/>
          <w:noProof/>
          <w:color w:val="FF0000"/>
          <w:sz w:val="28"/>
          <w:szCs w:val="36"/>
          <w14:ligatures w14:val="none"/>
        </w:rPr>
        <w:drawing>
          <wp:anchor distT="0" distB="0" distL="114300" distR="114300" simplePos="0" relativeHeight="251661312" behindDoc="0" locked="0" layoutInCell="1" allowOverlap="1" wp14:anchorId="7E4EC338" wp14:editId="2EA42A2A">
            <wp:simplePos x="0" y="0"/>
            <wp:positionH relativeFrom="margin">
              <wp:align>left</wp:align>
            </wp:positionH>
            <wp:positionV relativeFrom="paragraph">
              <wp:posOffset>287020</wp:posOffset>
            </wp:positionV>
            <wp:extent cx="6404610" cy="762000"/>
            <wp:effectExtent l="0" t="0" r="0" b="0"/>
            <wp:wrapThrough wrapText="bothSides">
              <wp:wrapPolygon edited="0">
                <wp:start x="0" y="0"/>
                <wp:lineTo x="0" y="21060"/>
                <wp:lineTo x="21523" y="21060"/>
                <wp:lineTo x="21523" y="0"/>
                <wp:lineTo x="0" y="0"/>
              </wp:wrapPolygon>
            </wp:wrapThrough>
            <wp:docPr id="5" name="Picture 5" descr="C:\Users\erica.gilbert\AppData\Local\Microsoft\Windows\INetCache\Content.Outlook\HKUUEXLA\WNSW PHN Motif Blu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a.gilbert\AppData\Local\Microsoft\Windows\INetCache\Content.Outlook\HKUUEXLA\WNSW PHN Motif Blue on Whi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461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17D4">
        <w:rPr>
          <w:rFonts w:asciiTheme="minorHAnsi" w:hAnsiTheme="minorHAnsi" w:cstheme="minorHAnsi"/>
          <w:b/>
          <w:i/>
          <w:color w:val="FF0000"/>
          <w:sz w:val="28"/>
          <w:szCs w:val="36"/>
          <w14:ligatures w14:val="none"/>
        </w:rPr>
        <w:t>Information</w:t>
      </w:r>
      <w:r>
        <w:rPr>
          <w:rFonts w:asciiTheme="minorHAnsi" w:hAnsiTheme="minorHAnsi" w:cstheme="minorHAnsi"/>
          <w:b/>
          <w:bCs/>
          <w:sz w:val="28"/>
          <w:szCs w:val="24"/>
          <w14:ligatures w14:val="none"/>
        </w:rPr>
        <w:t xml:space="preserve">  </w:t>
      </w:r>
      <w:r w:rsidRPr="00CF40B1">
        <w:rPr>
          <w:color w:val="auto"/>
          <w:sz w:val="18"/>
          <w:szCs w:val="18"/>
        </w:rPr>
        <w:t xml:space="preserve">Natalie Welsh  </w:t>
      </w:r>
      <w:r w:rsidRPr="00CF40B1">
        <w:rPr>
          <w:b/>
          <w:color w:val="auto"/>
          <w:sz w:val="18"/>
          <w:szCs w:val="18"/>
        </w:rPr>
        <w:t>t</w:t>
      </w:r>
      <w:r w:rsidRPr="00CF40B1">
        <w:rPr>
          <w:color w:val="auto"/>
          <w:sz w:val="18"/>
          <w:szCs w:val="18"/>
        </w:rPr>
        <w:t xml:space="preserve"> 0437 692 614 </w:t>
      </w:r>
      <w:r w:rsidRPr="00CF40B1">
        <w:rPr>
          <w:b/>
          <w:color w:val="auto"/>
          <w:sz w:val="18"/>
          <w:szCs w:val="18"/>
        </w:rPr>
        <w:t>e</w:t>
      </w:r>
      <w:r w:rsidRPr="00CF40B1">
        <w:rPr>
          <w:color w:val="auto"/>
          <w:sz w:val="18"/>
          <w:szCs w:val="18"/>
        </w:rPr>
        <w:t xml:space="preserve"> </w:t>
      </w:r>
      <w:hyperlink r:id="rId11" w:history="1">
        <w:r w:rsidRPr="008A3EA2">
          <w:rPr>
            <w:rStyle w:val="Hyperlink"/>
            <w:sz w:val="18"/>
            <w:szCs w:val="18"/>
          </w:rPr>
          <w:t>natalie.welsh@wnswphn.org.au</w:t>
        </w:r>
      </w:hyperlink>
      <w:r w:rsidRPr="00763D15">
        <w:rPr>
          <w:rStyle w:val="Hyperlink"/>
          <w:color w:val="auto"/>
          <w:sz w:val="18"/>
          <w:szCs w:val="18"/>
        </w:rPr>
        <w:t xml:space="preserve"> </w:t>
      </w:r>
      <w:r w:rsidRPr="00CF40B1">
        <w:rPr>
          <w:rStyle w:val="Hyperlink"/>
          <w:b/>
          <w:color w:val="auto"/>
          <w:sz w:val="18"/>
          <w:szCs w:val="18"/>
        </w:rPr>
        <w:t>w</w:t>
      </w:r>
      <w:r w:rsidRPr="00CF40B1">
        <w:rPr>
          <w:rStyle w:val="Hyperlink"/>
          <w:color w:val="auto"/>
          <w:sz w:val="18"/>
          <w:szCs w:val="18"/>
        </w:rPr>
        <w:t xml:space="preserve"> </w:t>
      </w:r>
      <w:r w:rsidRPr="00CF40B1">
        <w:rPr>
          <w:color w:val="auto"/>
          <w:sz w:val="18"/>
          <w:szCs w:val="18"/>
        </w:rPr>
        <w:t>www.wnswphn.org.au</w:t>
      </w:r>
    </w:p>
    <w:p w14:paraId="11D85887" w14:textId="77777777" w:rsidR="002A17D4" w:rsidRDefault="002A17D4" w:rsidP="002A17D4">
      <w:pPr>
        <w:pStyle w:val="BasicParagraph"/>
        <w:tabs>
          <w:tab w:val="left" w:pos="1320"/>
        </w:tabs>
        <w:suppressAutoHyphens/>
        <w:jc w:val="center"/>
        <w:rPr>
          <w:rFonts w:ascii="Arial" w:hAnsi="Arial" w:cs="Arial"/>
          <w:i/>
          <w:sz w:val="16"/>
          <w:szCs w:val="16"/>
        </w:rPr>
      </w:pPr>
      <w:r w:rsidRPr="0079204F">
        <w:rPr>
          <w:rFonts w:ascii="Arial" w:hAnsi="Arial" w:cs="Arial"/>
          <w:i/>
          <w:sz w:val="16"/>
          <w:szCs w:val="16"/>
        </w:rPr>
        <w:t>It is the responsibility of th</w:t>
      </w:r>
      <w:r>
        <w:rPr>
          <w:rFonts w:ascii="Arial" w:hAnsi="Arial" w:cs="Arial"/>
          <w:i/>
          <w:sz w:val="16"/>
          <w:szCs w:val="16"/>
        </w:rPr>
        <w:t>e participant to ensure that this</w:t>
      </w:r>
      <w:r w:rsidRPr="0079204F">
        <w:rPr>
          <w:rFonts w:ascii="Arial" w:hAnsi="Arial" w:cs="Arial"/>
          <w:i/>
          <w:sz w:val="16"/>
          <w:szCs w:val="16"/>
        </w:rPr>
        <w:t xml:space="preserve"> event is suitable for their level of interest, experience and qualifications. </w:t>
      </w:r>
    </w:p>
    <w:p w14:paraId="33C8E5B2" w14:textId="77777777" w:rsidR="002A17D4" w:rsidRPr="0079204F" w:rsidRDefault="002A17D4" w:rsidP="002A17D4">
      <w:pPr>
        <w:pStyle w:val="BasicParagraph"/>
        <w:tabs>
          <w:tab w:val="left" w:pos="1320"/>
        </w:tabs>
        <w:suppressAutoHyphens/>
        <w:jc w:val="center"/>
        <w:rPr>
          <w:rFonts w:ascii="Arial" w:hAnsi="Arial" w:cs="Arial"/>
          <w:spacing w:val="-3"/>
          <w:sz w:val="16"/>
          <w:szCs w:val="16"/>
        </w:rPr>
      </w:pPr>
      <w:r w:rsidRPr="0079204F">
        <w:rPr>
          <w:rFonts w:ascii="Arial" w:hAnsi="Arial" w:cs="Arial"/>
          <w:i/>
          <w:sz w:val="16"/>
          <w:szCs w:val="16"/>
        </w:rPr>
        <w:t xml:space="preserve">The Western NSW </w:t>
      </w:r>
      <w:r>
        <w:rPr>
          <w:rFonts w:ascii="Arial" w:hAnsi="Arial" w:cs="Arial"/>
          <w:i/>
          <w:sz w:val="16"/>
          <w:szCs w:val="16"/>
        </w:rPr>
        <w:t>PHN</w:t>
      </w:r>
      <w:r w:rsidRPr="0079204F">
        <w:rPr>
          <w:rFonts w:ascii="Arial" w:hAnsi="Arial" w:cs="Arial"/>
          <w:i/>
          <w:sz w:val="16"/>
          <w:szCs w:val="16"/>
        </w:rPr>
        <w:t xml:space="preserve"> takes no responsibility for patient care that has been implemented as a result of attending the event.</w:t>
      </w:r>
    </w:p>
    <w:p w14:paraId="3D20AF69" w14:textId="77777777" w:rsidR="000E7BF1" w:rsidRPr="000E7BF1" w:rsidRDefault="000E7BF1" w:rsidP="000E7BF1">
      <w:pPr>
        <w:rPr>
          <w:lang w:val="en-US"/>
        </w:rPr>
      </w:pPr>
    </w:p>
    <w:sectPr w:rsidR="000E7BF1" w:rsidRPr="000E7BF1" w:rsidSect="002A17D4">
      <w:headerReference w:type="default" r:id="rId12"/>
      <w:pgSz w:w="11906" w:h="16838"/>
      <w:pgMar w:top="1440" w:right="851" w:bottom="28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26A6A" w14:textId="77777777" w:rsidR="00FE3F93" w:rsidRDefault="00FE3F93" w:rsidP="00FC7C8C">
      <w:pPr>
        <w:spacing w:after="0" w:line="240" w:lineRule="auto"/>
      </w:pPr>
      <w:r>
        <w:separator/>
      </w:r>
    </w:p>
  </w:endnote>
  <w:endnote w:type="continuationSeparator" w:id="0">
    <w:p w14:paraId="02D4B11D" w14:textId="77777777" w:rsidR="00FE3F93" w:rsidRDefault="00FE3F93" w:rsidP="00FC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EC00F" w14:textId="77777777" w:rsidR="00FE3F93" w:rsidRDefault="00FE3F93" w:rsidP="00FC7C8C">
      <w:pPr>
        <w:spacing w:after="0" w:line="240" w:lineRule="auto"/>
      </w:pPr>
      <w:r>
        <w:separator/>
      </w:r>
    </w:p>
  </w:footnote>
  <w:footnote w:type="continuationSeparator" w:id="0">
    <w:p w14:paraId="5B5E51BA" w14:textId="77777777" w:rsidR="00FE3F93" w:rsidRDefault="00FE3F93" w:rsidP="00FC7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04CA5" w14:textId="77777777" w:rsidR="00FC7C8C" w:rsidRDefault="00FC7C8C" w:rsidP="00FC7C8C">
    <w:pPr>
      <w:tabs>
        <w:tab w:val="left" w:pos="3060"/>
      </w:tabs>
      <w:spacing w:after="0" w:line="240" w:lineRule="auto"/>
      <w:ind w:hanging="142"/>
      <w:rPr>
        <w:rFonts w:ascii="Arial Rounded MT Bold" w:eastAsia="Arial" w:hAnsi="Arial Rounded MT Bold" w:cs="Arial"/>
        <w:b/>
        <w:color w:val="003D69"/>
        <w:sz w:val="36"/>
        <w:szCs w:val="36"/>
      </w:rPr>
    </w:pPr>
    <w:r>
      <w:rPr>
        <w:noProof/>
        <w:color w:val="1F497D"/>
      </w:rPr>
      <w:drawing>
        <wp:anchor distT="0" distB="0" distL="114300" distR="114300" simplePos="0" relativeHeight="251661312" behindDoc="1" locked="0" layoutInCell="1" allowOverlap="1" wp14:anchorId="66D4B73C" wp14:editId="098663CC">
          <wp:simplePos x="0" y="0"/>
          <wp:positionH relativeFrom="column">
            <wp:posOffset>3755390</wp:posOffset>
          </wp:positionH>
          <wp:positionV relativeFrom="paragraph">
            <wp:posOffset>85725</wp:posOffset>
          </wp:positionV>
          <wp:extent cx="1424420" cy="400050"/>
          <wp:effectExtent l="0" t="0" r="4445" b="0"/>
          <wp:wrapNone/>
          <wp:docPr id="12" name="Picture 12" descr="Description: Description: http://internal.health.nsw.gov.au/communications/e-signatures/images/NSW-Health-Far-West-L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ted_logo" descr="Description: Description: http://internal.health.nsw.gov.au/communications/e-signatures/images/NSW-Health-Far-West-LHD.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442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597E">
      <w:rPr>
        <w:rFonts w:asciiTheme="minorHAnsi" w:hAnsiTheme="minorHAnsi" w:cstheme="minorHAnsi"/>
        <w:noProof/>
        <w:color w:val="auto"/>
        <w:kern w:val="0"/>
        <w:sz w:val="24"/>
        <w:szCs w:val="24"/>
        <w14:ligatures w14:val="none"/>
        <w14:cntxtAlts w14:val="0"/>
      </w:rPr>
      <w:drawing>
        <wp:anchor distT="0" distB="0" distL="114300" distR="114300" simplePos="0" relativeHeight="251659264" behindDoc="1" locked="0" layoutInCell="1" allowOverlap="1" wp14:anchorId="03AF4B46" wp14:editId="76E77ED0">
          <wp:simplePos x="0" y="0"/>
          <wp:positionH relativeFrom="column">
            <wp:posOffset>2031365</wp:posOffset>
          </wp:positionH>
          <wp:positionV relativeFrom="paragraph">
            <wp:posOffset>66675</wp:posOffset>
          </wp:positionV>
          <wp:extent cx="1362075" cy="500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HA_R_Stacked_CMYK 2015.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2075" cy="500200"/>
                  </a:xfrm>
                  <a:prstGeom prst="rect">
                    <a:avLst/>
                  </a:prstGeom>
                </pic:spPr>
              </pic:pic>
            </a:graphicData>
          </a:graphic>
          <wp14:sizeRelH relativeFrom="margin">
            <wp14:pctWidth>0</wp14:pctWidth>
          </wp14:sizeRelH>
          <wp14:sizeRelV relativeFrom="margin">
            <wp14:pctHeight>0</wp14:pctHeight>
          </wp14:sizeRelV>
        </wp:anchor>
      </w:drawing>
    </w:r>
    <w:r w:rsidRPr="004541C9">
      <w:rPr>
        <w:rFonts w:asciiTheme="minorHAnsi" w:hAnsiTheme="minorHAnsi" w:cstheme="minorHAnsi"/>
        <w:noProof/>
        <w:color w:val="auto"/>
        <w:kern w:val="0"/>
        <w:sz w:val="24"/>
        <w:szCs w:val="24"/>
        <w14:ligatures w14:val="none"/>
        <w14:cntxtAlts w14:val="0"/>
      </w:rPr>
      <w:drawing>
        <wp:anchor distT="0" distB="0" distL="114300" distR="114300" simplePos="0" relativeHeight="251663360" behindDoc="1" locked="0" layoutInCell="1" allowOverlap="1" wp14:anchorId="29F8EF38" wp14:editId="4DFE0259">
          <wp:simplePos x="0" y="0"/>
          <wp:positionH relativeFrom="margin">
            <wp:posOffset>5549265</wp:posOffset>
          </wp:positionH>
          <wp:positionV relativeFrom="paragraph">
            <wp:posOffset>-85725</wp:posOffset>
          </wp:positionV>
          <wp:extent cx="1092654" cy="695325"/>
          <wp:effectExtent l="0" t="0" r="0" b="0"/>
          <wp:wrapNone/>
          <wp:docPr id="11" name="Picture 11" descr="P:\company_documents\Communications\Branding\PHN Logo\PHN Western NS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pany_documents\Communications\Branding\PHN Logo\PHN Western NSW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2654"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7C8C">
      <w:rPr>
        <w:rFonts w:ascii="Arial Rounded MT Bold" w:eastAsia="Arial" w:hAnsi="Arial Rounded MT Bold" w:cs="Arial"/>
        <w:b/>
        <w:color w:val="003D69"/>
        <w:sz w:val="36"/>
        <w:szCs w:val="36"/>
      </w:rPr>
      <w:t xml:space="preserve">Broken Hill </w:t>
    </w:r>
    <w:r>
      <w:rPr>
        <w:rFonts w:ascii="Arial Rounded MT Bold" w:eastAsia="Arial" w:hAnsi="Arial Rounded MT Bold" w:cs="Arial"/>
        <w:b/>
        <w:color w:val="003D69"/>
        <w:sz w:val="36"/>
        <w:szCs w:val="36"/>
      </w:rPr>
      <w:tab/>
    </w:r>
  </w:p>
  <w:p w14:paraId="03792884" w14:textId="77777777" w:rsidR="00FC7C8C" w:rsidRDefault="00FC7C8C" w:rsidP="00FC7C8C">
    <w:pPr>
      <w:tabs>
        <w:tab w:val="left" w:pos="5430"/>
        <w:tab w:val="left" w:pos="6675"/>
      </w:tabs>
      <w:spacing w:after="0" w:line="240" w:lineRule="auto"/>
      <w:ind w:hanging="142"/>
      <w:rPr>
        <w:rFonts w:ascii="Arial Rounded MT Bold" w:eastAsia="Arial" w:hAnsi="Arial Rounded MT Bold" w:cs="Arial"/>
        <w:b/>
        <w:color w:val="003D69"/>
        <w:sz w:val="36"/>
        <w:szCs w:val="36"/>
      </w:rPr>
    </w:pPr>
    <w:r w:rsidRPr="00FC7C8C">
      <w:rPr>
        <w:rFonts w:ascii="Arial Rounded MT Bold" w:eastAsia="Arial" w:hAnsi="Arial Rounded MT Bold" w:cs="Arial"/>
        <w:b/>
        <w:color w:val="003D69"/>
        <w:sz w:val="36"/>
        <w:szCs w:val="36"/>
      </w:rPr>
      <w:t>GP Masterclass</w:t>
    </w:r>
    <w:r>
      <w:rPr>
        <w:rFonts w:ascii="Arial Rounded MT Bold" w:eastAsia="Arial" w:hAnsi="Arial Rounded MT Bold" w:cs="Arial"/>
        <w:b/>
        <w:color w:val="003D69"/>
        <w:sz w:val="36"/>
        <w:szCs w:val="36"/>
      </w:rPr>
      <w:tab/>
    </w:r>
    <w:r>
      <w:rPr>
        <w:rFonts w:ascii="Arial Rounded MT Bold" w:eastAsia="Arial" w:hAnsi="Arial Rounded MT Bold" w:cs="Arial"/>
        <w:b/>
        <w:color w:val="003D69"/>
        <w:sz w:val="36"/>
        <w:szCs w:val="36"/>
      </w:rPr>
      <w:tab/>
    </w:r>
  </w:p>
  <w:p w14:paraId="5A1409DF" w14:textId="77777777" w:rsidR="00FC7C8C" w:rsidRPr="00FC7C8C" w:rsidRDefault="00FC7C8C" w:rsidP="00FC7C8C">
    <w:pPr>
      <w:spacing w:after="0" w:line="240" w:lineRule="auto"/>
      <w:ind w:hanging="142"/>
      <w:rPr>
        <w:rFonts w:ascii="Arial Rounded MT Bold" w:eastAsia="Arial" w:hAnsi="Arial Rounded MT Bold" w:cs="Arial"/>
        <w:b/>
        <w:color w:val="003D69"/>
        <w:sz w:val="28"/>
        <w:szCs w:val="28"/>
      </w:rPr>
    </w:pPr>
    <w:r w:rsidRPr="00FC7C8C">
      <w:rPr>
        <w:rFonts w:ascii="Arial Rounded MT Bold" w:eastAsia="Arial" w:hAnsi="Arial Rounded MT Bold" w:cs="Arial"/>
        <w:b/>
        <w:color w:val="003D69"/>
        <w:sz w:val="28"/>
        <w:szCs w:val="28"/>
      </w:rPr>
      <w:t>Invitation</w:t>
    </w:r>
  </w:p>
  <w:p w14:paraId="4DCB9983" w14:textId="77777777" w:rsidR="00FC7C8C" w:rsidRDefault="00FC7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2D0"/>
    <w:multiLevelType w:val="hybridMultilevel"/>
    <w:tmpl w:val="BDBC7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4573744"/>
    <w:multiLevelType w:val="hybridMultilevel"/>
    <w:tmpl w:val="A4B8BB40"/>
    <w:lvl w:ilvl="0" w:tplc="BD026D8A">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06440EA"/>
    <w:multiLevelType w:val="hybridMultilevel"/>
    <w:tmpl w:val="E410E012"/>
    <w:lvl w:ilvl="0" w:tplc="BD026D8A">
      <w:start w:val="1"/>
      <w:numFmt w:val="bullet"/>
      <w:lvlText w:val=""/>
      <w:lvlJc w:val="left"/>
      <w:pPr>
        <w:ind w:left="3134" w:hanging="360"/>
      </w:pPr>
      <w:rPr>
        <w:rFonts w:ascii="Symbol" w:hAnsi="Symbol" w:hint="default"/>
        <w:color w:val="FF0000"/>
      </w:rPr>
    </w:lvl>
    <w:lvl w:ilvl="1" w:tplc="0C090003">
      <w:start w:val="1"/>
      <w:numFmt w:val="bullet"/>
      <w:lvlText w:val="o"/>
      <w:lvlJc w:val="left"/>
      <w:pPr>
        <w:ind w:left="1520" w:hanging="360"/>
      </w:pPr>
      <w:rPr>
        <w:rFonts w:ascii="Courier New" w:hAnsi="Courier New" w:cs="Courier New" w:hint="default"/>
      </w:rPr>
    </w:lvl>
    <w:lvl w:ilvl="2" w:tplc="0C090005">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3" w15:restartNumberingAfterBreak="0">
    <w:nsid w:val="64CF1F74"/>
    <w:multiLevelType w:val="hybridMultilevel"/>
    <w:tmpl w:val="DD06E384"/>
    <w:lvl w:ilvl="0" w:tplc="BC70898E">
      <w:start w:val="1"/>
      <w:numFmt w:val="bullet"/>
      <w:lvlText w:val=""/>
      <w:lvlJc w:val="left"/>
      <w:pPr>
        <w:ind w:left="1080" w:hanging="360"/>
      </w:pPr>
      <w:rPr>
        <w:rFonts w:ascii="Symbol" w:hAnsi="Symbol" w:hint="default"/>
        <w:color w:val="FF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8C"/>
    <w:rsid w:val="000B242B"/>
    <w:rsid w:val="000E7BF1"/>
    <w:rsid w:val="001E22B8"/>
    <w:rsid w:val="002A17D4"/>
    <w:rsid w:val="002F5E22"/>
    <w:rsid w:val="003D5646"/>
    <w:rsid w:val="004E4448"/>
    <w:rsid w:val="005B733B"/>
    <w:rsid w:val="006E26E6"/>
    <w:rsid w:val="00837007"/>
    <w:rsid w:val="00A9775E"/>
    <w:rsid w:val="00B32809"/>
    <w:rsid w:val="00B45F95"/>
    <w:rsid w:val="00CF050A"/>
    <w:rsid w:val="00D4357D"/>
    <w:rsid w:val="00DB7BE2"/>
    <w:rsid w:val="00ED08B6"/>
    <w:rsid w:val="00FC7C8C"/>
    <w:rsid w:val="00FE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AD76D"/>
  <w15:chartTrackingRefBased/>
  <w15:docId w15:val="{D28B6F8D-524B-47DB-A3F6-996F7DF6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C8C"/>
    <w:pPr>
      <w:spacing w:after="120" w:line="285" w:lineRule="auto"/>
    </w:pPr>
    <w:rPr>
      <w:rFonts w:ascii="Calibri" w:eastAsia="Times New Roman" w:hAnsi="Calibri" w:cs="Calibri"/>
      <w:color w:val="000000"/>
      <w:kern w:val="28"/>
      <w:sz w:val="20"/>
      <w:szCs w:val="20"/>
      <w:lang w:val="en-AU"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C8C"/>
  </w:style>
  <w:style w:type="paragraph" w:styleId="Footer">
    <w:name w:val="footer"/>
    <w:basedOn w:val="Normal"/>
    <w:link w:val="FooterChar"/>
    <w:uiPriority w:val="99"/>
    <w:unhideWhenUsed/>
    <w:rsid w:val="00FC7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C8C"/>
  </w:style>
  <w:style w:type="paragraph" w:styleId="ListParagraph">
    <w:name w:val="List Paragraph"/>
    <w:basedOn w:val="Normal"/>
    <w:uiPriority w:val="34"/>
    <w:qFormat/>
    <w:rsid w:val="000E7BF1"/>
    <w:pPr>
      <w:ind w:left="720"/>
      <w:contextualSpacing/>
    </w:pPr>
  </w:style>
  <w:style w:type="character" w:styleId="Hyperlink">
    <w:name w:val="Hyperlink"/>
    <w:basedOn w:val="DefaultParagraphFont"/>
    <w:rsid w:val="000E7BF1"/>
    <w:rPr>
      <w:color w:val="0563C1" w:themeColor="hyperlink"/>
      <w:u w:val="single"/>
    </w:rPr>
  </w:style>
  <w:style w:type="paragraph" w:customStyle="1" w:styleId="BasicParagraph">
    <w:name w:val="[Basic Paragraph]"/>
    <w:basedOn w:val="Normal"/>
    <w:uiPriority w:val="99"/>
    <w:rsid w:val="002A17D4"/>
    <w:pPr>
      <w:widowControl w:val="0"/>
      <w:autoSpaceDE w:val="0"/>
      <w:autoSpaceDN w:val="0"/>
      <w:adjustRightInd w:val="0"/>
      <w:spacing w:after="0" w:line="288" w:lineRule="auto"/>
      <w:textAlignment w:val="center"/>
    </w:pPr>
    <w:rPr>
      <w:rFonts w:ascii="Times-Roman" w:eastAsia="Arial" w:hAnsi="Times-Roman" w:cs="Times-Roman"/>
      <w:kern w:val="0"/>
      <w:sz w:val="24"/>
      <w:szCs w:val="24"/>
      <w:lang w:val="en-US"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e.welsh@wnswphn.org.a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wnswphn.org.au/calendar/67/817-Broken-Hill-Detecting-and-Managing-Chronic-Kidney-Disea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1.jpg@01D5B0C5.655C6EA0" TargetMode="External"/><Relationship Id="rId1" Type="http://schemas.openxmlformats.org/officeDocument/2006/relationships/image" Target="media/image3.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1C08-A824-44AC-B35D-EACE2742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Welsh</dc:creator>
  <cp:keywords/>
  <dc:description/>
  <cp:lastModifiedBy>Anthony Thompson</cp:lastModifiedBy>
  <cp:revision>2</cp:revision>
  <cp:lastPrinted>2020-01-23T02:56:00Z</cp:lastPrinted>
  <dcterms:created xsi:type="dcterms:W3CDTF">2020-02-03T01:44:00Z</dcterms:created>
  <dcterms:modified xsi:type="dcterms:W3CDTF">2020-02-03T01:44:00Z</dcterms:modified>
</cp:coreProperties>
</file>