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070B8BF7" w:rsidR="00C61C91" w:rsidRDefault="005D5927" w:rsidP="00400A4B">
      <w:pPr>
        <w:spacing w:after="0"/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47B53A86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BC4685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Urology</w:t>
                            </w:r>
                            <w:r w:rsidR="002E4164" w:rsidRPr="002E416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F09C0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Outpatients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47B53A86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BC4685">
                        <w:rPr>
                          <w:rFonts w:ascii="Arial Narrow" w:hAnsi="Arial Narrow"/>
                          <w:sz w:val="56"/>
                          <w:szCs w:val="56"/>
                        </w:rPr>
                        <w:t>Urology</w:t>
                      </w:r>
                      <w:r w:rsidR="002E4164" w:rsidRPr="002E416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 </w:t>
                      </w:r>
                      <w:r w:rsidR="00DF09C0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Outpatients 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446">
        <w:t>Can you confirm there are No Red Flags</w:t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125D7E2" w14:textId="77777777" w:rsidR="002C5705" w:rsidRPr="00DF09C0" w:rsidRDefault="00DF09C0" w:rsidP="002C57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09C0">
              <w:rPr>
                <w:rFonts w:ascii="Arial" w:hAnsi="Arial" w:cs="Arial"/>
                <w:b/>
                <w:sz w:val="28"/>
                <w:szCs w:val="28"/>
              </w:rPr>
              <w:t>Do not refer the following</w:t>
            </w:r>
          </w:p>
          <w:p w14:paraId="057759E7" w14:textId="1AB7CBF4" w:rsidR="00DF09C0" w:rsidRDefault="00DF09C0" w:rsidP="00DF09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Erectile dysfunction</w:t>
            </w:r>
          </w:p>
          <w:p w14:paraId="33D44C3C" w14:textId="24353B3F" w:rsidR="00DF09C0" w:rsidRPr="00DF09C0" w:rsidRDefault="00DF09C0" w:rsidP="00DF09C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Pure stress incontinence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4306F" w14:textId="77777777" w:rsidR="00F6035D" w:rsidRPr="00FD1768" w:rsidRDefault="00F6035D" w:rsidP="00F6035D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0B2DEAE" w14:textId="77777777" w:rsidR="00F6035D" w:rsidRPr="00FD1768" w:rsidRDefault="00F6035D" w:rsidP="00F6035D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69157035" w14:textId="77777777" w:rsidR="00F6035D" w:rsidRPr="00FD1768" w:rsidRDefault="001045A1" w:rsidP="00F6035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6035D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767E8787" w14:textId="77777777" w:rsidR="00F6035D" w:rsidRPr="00FD1768" w:rsidRDefault="00F6035D" w:rsidP="00F6035D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Fax referral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 08 8087 3689</w:t>
                                  </w:r>
                                </w:p>
                                <w:p w14:paraId="6DE92FDB" w14:textId="7BB35441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29B4306F" w14:textId="77777777" w:rsidR="00F6035D" w:rsidRPr="00FD1768" w:rsidRDefault="00F6035D" w:rsidP="00F6035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0B2DEAE" w14:textId="77777777" w:rsidR="00F6035D" w:rsidRPr="00FD1768" w:rsidRDefault="00F6035D" w:rsidP="00F6035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69157035" w14:textId="77777777" w:rsidR="00F6035D" w:rsidRPr="00FD1768" w:rsidRDefault="001045A1" w:rsidP="00F603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6035D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767E8787" w14:textId="77777777" w:rsidR="00F6035D" w:rsidRPr="00FD1768" w:rsidRDefault="00F6035D" w:rsidP="00F6035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Fax referral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 08 8087 3689</w:t>
                            </w:r>
                          </w:p>
                          <w:p w14:paraId="6DE92FDB" w14:textId="7BB35441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4AC3DA9C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DF3700">
        <w:rPr>
          <w:rFonts w:ascii="Arial" w:hAnsi="Arial" w:cs="Arial"/>
          <w:b/>
        </w:rPr>
        <w:t>de</w:t>
      </w:r>
      <w:r w:rsidR="00FD1076">
        <w:rPr>
          <w:rFonts w:ascii="Arial" w:hAnsi="Arial" w:cs="Arial"/>
          <w:b/>
        </w:rPr>
        <w:t xml:space="preserve">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787A905D" w:rsidR="00E630D1" w:rsidRPr="00E76442" w:rsidRDefault="00DF3700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Urology </w:t>
      </w:r>
      <w:r w:rsidR="00DF09C0">
        <w:rPr>
          <w:rFonts w:ascii="Arial" w:hAnsi="Arial" w:cs="Arial"/>
          <w:color w:val="000000"/>
          <w:lang w:eastAsia="en-AU"/>
        </w:rPr>
        <w:t xml:space="preserve">Outpatients </w:t>
      </w:r>
      <w:r w:rsidR="009E3E60">
        <w:rPr>
          <w:rFonts w:ascii="Arial" w:hAnsi="Arial" w:cs="Arial"/>
          <w:color w:val="000000"/>
          <w:lang w:eastAsia="en-AU"/>
        </w:rPr>
        <w:t>Clinic</w:t>
      </w:r>
    </w:p>
    <w:p w14:paraId="6916D00C" w14:textId="3AF41B90" w:rsidR="009D3D94" w:rsidRPr="00E76442" w:rsidRDefault="00F6035D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>
        <w:rPr>
          <w:rFonts w:ascii="Arial" w:hAnsi="Arial" w:cs="Arial"/>
          <w:b/>
        </w:rPr>
        <w:t>Indications for specialist referral</w:t>
      </w:r>
    </w:p>
    <w:p w14:paraId="1C2DD0F1" w14:textId="7B09515B" w:rsidR="00DF09C0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Voiding dysfunction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65ADEBF7" w14:textId="451FFD2C" w:rsidR="00F6035D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Name and patient demographic</w:t>
      </w:r>
    </w:p>
    <w:p w14:paraId="5C4243FC" w14:textId="77777777" w:rsidR="00F6035D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Diagnosis</w:t>
      </w:r>
    </w:p>
    <w:p w14:paraId="753711E8" w14:textId="793715D9" w:rsidR="00F6035D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History and Physical Examination</w:t>
      </w:r>
    </w:p>
    <w:p w14:paraId="5CB6D8AE" w14:textId="77777777" w:rsidR="00F6035D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Pertinent Past illness, surgery and FH of Malignancy</w:t>
      </w:r>
    </w:p>
    <w:p w14:paraId="6DA37E86" w14:textId="77777777" w:rsidR="00F6035D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Pertinent investigation results</w:t>
      </w:r>
    </w:p>
    <w:p w14:paraId="51DA811E" w14:textId="3B89B879" w:rsidR="00935907" w:rsidRPr="00F6035D" w:rsidRDefault="00F6035D" w:rsidP="00F6035D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</w:rPr>
      </w:pPr>
      <w:r w:rsidRPr="00F6035D">
        <w:rPr>
          <w:rFonts w:ascii="Arial" w:hAnsi="Arial" w:cs="Arial"/>
        </w:rPr>
        <w:t>Medication List and allergies</w:t>
      </w:r>
    </w:p>
    <w:p w14:paraId="319A5006" w14:textId="063681A2" w:rsidR="00E73981" w:rsidRPr="00BC4685" w:rsidRDefault="00E73981" w:rsidP="00BC4685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BC4685">
        <w:rPr>
          <w:rFonts w:ascii="Arial" w:hAnsi="Arial" w:cs="Arial"/>
          <w:b/>
          <w:color w:val="FFFFFF" w:themeColor="background1"/>
        </w:rPr>
        <w:t>Investigations required</w:t>
      </w:r>
    </w:p>
    <w:p w14:paraId="5236C1EB" w14:textId="5E360165" w:rsidR="00F6035D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35D">
        <w:rPr>
          <w:rFonts w:ascii="Arial" w:hAnsi="Arial" w:cs="Arial"/>
        </w:rPr>
        <w:t>MSU x 2</w:t>
      </w:r>
    </w:p>
    <w:p w14:paraId="19BA4837" w14:textId="77777777" w:rsidR="00F6035D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35D">
        <w:rPr>
          <w:rFonts w:ascii="Arial" w:hAnsi="Arial" w:cs="Arial"/>
        </w:rPr>
        <w:t>Renal tract US with post voiding residual (and prostate size if a male)</w:t>
      </w:r>
    </w:p>
    <w:p w14:paraId="1A71126A" w14:textId="77777777" w:rsidR="00F6035D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35D">
        <w:rPr>
          <w:rFonts w:ascii="Arial" w:hAnsi="Arial" w:cs="Arial"/>
        </w:rPr>
        <w:t>PSA if a male</w:t>
      </w:r>
    </w:p>
    <w:p w14:paraId="18F2BF3B" w14:textId="5D95D5F4" w:rsidR="00E630D1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35D">
        <w:rPr>
          <w:rFonts w:ascii="Arial" w:hAnsi="Arial" w:cs="Arial"/>
        </w:rPr>
        <w:t xml:space="preserve">48 hr bladder </w:t>
      </w:r>
      <w:r w:rsidR="00FB5551">
        <w:rPr>
          <w:rFonts w:ascii="Arial" w:hAnsi="Arial" w:cs="Arial"/>
        </w:rPr>
        <w:t>d</w:t>
      </w:r>
      <w:r w:rsidRPr="00F6035D">
        <w:rPr>
          <w:rFonts w:ascii="Arial" w:hAnsi="Arial" w:cs="Arial"/>
        </w:rPr>
        <w:t>iary (mainly need time and volume voided)</w:t>
      </w:r>
    </w:p>
    <w:p w14:paraId="7458E6F5" w14:textId="77777777" w:rsidR="00D5275A" w:rsidRPr="00E76442" w:rsidRDefault="001A2D3C" w:rsidP="00D5275A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76AB10E8" w14:textId="2666D912" w:rsidR="00DF09C0" w:rsidRP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Acute pain management</w:t>
      </w:r>
    </w:p>
    <w:p w14:paraId="7347AFA8" w14:textId="29F818F4" w:rsidR="00D5275A" w:rsidRPr="00E76442" w:rsidRDefault="00F6035D" w:rsidP="00DF09C0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32480" behindDoc="1" locked="0" layoutInCell="1" allowOverlap="1" wp14:anchorId="43633B37" wp14:editId="0B3E253F">
            <wp:simplePos x="0" y="0"/>
            <wp:positionH relativeFrom="column">
              <wp:posOffset>2324100</wp:posOffset>
            </wp:positionH>
            <wp:positionV relativeFrom="paragraph">
              <wp:posOffset>198120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FEA547B" w14:textId="20A0EC5E" w:rsidR="005B5E8B" w:rsidRPr="00935907" w:rsidRDefault="00FB5551" w:rsidP="0093590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N/A</w:t>
      </w:r>
    </w:p>
    <w:p w14:paraId="7BB7A4E2" w14:textId="77777777" w:rsidR="001A2D3C" w:rsidRPr="005B5E8B" w:rsidRDefault="001A2D3C" w:rsidP="005B5E8B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en-AU"/>
        </w:rPr>
      </w:pP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1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bookmarkEnd w:id="1"/>
    <w:p w14:paraId="62500ED3" w14:textId="372ED81E" w:rsidR="001A2D3C" w:rsidRPr="00935907" w:rsidRDefault="00DF09C0" w:rsidP="00935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345591CA" w14:textId="7986E314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or email referral to</w:t>
      </w:r>
    </w:p>
    <w:p w14:paraId="7978673C" w14:textId="6A22BEA2" w:rsidR="00F6035D" w:rsidRDefault="00F6035D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035D">
        <w:rPr>
          <w:rFonts w:ascii="Arial" w:hAnsi="Arial" w:cs="Arial"/>
        </w:rPr>
        <w:t>Direct Number:0400</w:t>
      </w:r>
      <w:r>
        <w:rPr>
          <w:rFonts w:ascii="Arial" w:hAnsi="Arial" w:cs="Arial"/>
        </w:rPr>
        <w:t xml:space="preserve"> </w:t>
      </w:r>
      <w:r w:rsidRPr="00F6035D">
        <w:rPr>
          <w:rFonts w:ascii="Arial" w:hAnsi="Arial" w:cs="Arial"/>
        </w:rPr>
        <w:t>559</w:t>
      </w:r>
      <w:r>
        <w:rPr>
          <w:rFonts w:ascii="Arial" w:hAnsi="Arial" w:cs="Arial"/>
        </w:rPr>
        <w:t xml:space="preserve"> </w:t>
      </w:r>
      <w:r w:rsidRPr="00F6035D">
        <w:rPr>
          <w:rFonts w:ascii="Arial" w:hAnsi="Arial" w:cs="Arial"/>
        </w:rPr>
        <w:t>440</w:t>
      </w:r>
    </w:p>
    <w:p w14:paraId="51F82CE9" w14:textId="337F66AA" w:rsidR="002C343A" w:rsidRPr="00F6035D" w:rsidRDefault="00FB5551" w:rsidP="00F603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Fax</w:t>
      </w:r>
      <w:r w:rsidR="002C343A">
        <w:rPr>
          <w:rFonts w:ascii="Arial" w:hAnsi="Arial" w:cs="Arial"/>
        </w:rPr>
        <w:t>: 08 808</w:t>
      </w:r>
      <w:r>
        <w:rPr>
          <w:rFonts w:ascii="Arial" w:hAnsi="Arial" w:cs="Arial"/>
        </w:rPr>
        <w:t>7</w:t>
      </w:r>
      <w:r w:rsidR="002C3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3689</w:t>
      </w:r>
    </w:p>
    <w:p w14:paraId="53087334" w14:textId="1B1D70CB" w:rsidR="005B5E8B" w:rsidRPr="00F6035D" w:rsidRDefault="00F6035D" w:rsidP="00F6035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F6035D">
        <w:rPr>
          <w:rFonts w:ascii="Arial" w:hAnsi="Arial" w:cs="Arial"/>
        </w:rPr>
        <w:t>Email: tania.hossack@health.nsw.gov.au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DFC2400" w14:textId="1C913970" w:rsidR="005B5E8B" w:rsidRPr="00FB5551" w:rsidRDefault="005B5E8B" w:rsidP="00FB5551">
      <w:pPr>
        <w:spacing w:after="0"/>
        <w:rPr>
          <w:rFonts w:ascii="Arial" w:hAnsi="Arial" w:cs="Arial"/>
        </w:rPr>
      </w:pPr>
    </w:p>
    <w:p w14:paraId="138BEEF0" w14:textId="77777777" w:rsidR="00935907" w:rsidRDefault="00935907" w:rsidP="005B5E8B">
      <w:pPr>
        <w:spacing w:after="0"/>
        <w:rPr>
          <w:rFonts w:ascii="Arial" w:hAnsi="Arial" w:cs="Arial"/>
        </w:rPr>
      </w:pPr>
    </w:p>
    <w:p w14:paraId="6F2265BD" w14:textId="77777777" w:rsidR="00935907" w:rsidRDefault="00935907" w:rsidP="005B5E8B">
      <w:pPr>
        <w:spacing w:after="0"/>
        <w:rPr>
          <w:rFonts w:ascii="Arial" w:hAnsi="Arial" w:cs="Arial"/>
        </w:rPr>
      </w:pPr>
    </w:p>
    <w:p w14:paraId="418348D3" w14:textId="7A5A23F5" w:rsidR="00935907" w:rsidRPr="005B5E8B" w:rsidRDefault="00935907" w:rsidP="005B5E8B">
      <w:pPr>
        <w:spacing w:after="0"/>
        <w:rPr>
          <w:rFonts w:ascii="Arial" w:hAnsi="Arial" w:cs="Arial"/>
        </w:rPr>
        <w:sectPr w:rsidR="00935907" w:rsidRPr="005B5E8B" w:rsidSect="0093590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48D9EFE" w14:textId="53C56B66" w:rsidR="001A2D3C" w:rsidRDefault="001A2D3C" w:rsidP="00935907">
      <w:pPr>
        <w:spacing w:after="0"/>
        <w:rPr>
          <w:rFonts w:ascii="Arial" w:hAnsi="Arial" w:cs="Arial"/>
        </w:rPr>
      </w:pPr>
    </w:p>
    <w:p w14:paraId="57B60052" w14:textId="6C5E5223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8203D2" w14:textId="0BD979EA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126CBC4" w14:textId="3863FC2A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ECDA88D" w14:textId="62C82C7F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C830B0A" w14:textId="7A4B79D0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3C8D1214" w14:textId="0AFB6A4D" w:rsid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p w14:paraId="6A29C810" w14:textId="77777777" w:rsidR="00935907" w:rsidRPr="00935907" w:rsidRDefault="00935907" w:rsidP="00935907">
      <w:pPr>
        <w:tabs>
          <w:tab w:val="left" w:pos="6225"/>
        </w:tabs>
        <w:rPr>
          <w:rFonts w:ascii="Arial" w:hAnsi="Arial" w:cs="Arial"/>
        </w:rPr>
      </w:pPr>
    </w:p>
    <w:sectPr w:rsidR="00935907" w:rsidRPr="00935907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B94E" w14:textId="22202000" w:rsidR="00017807" w:rsidRDefault="00017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62E"/>
    <w:multiLevelType w:val="hybridMultilevel"/>
    <w:tmpl w:val="DC2AC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F0748"/>
    <w:multiLevelType w:val="hybridMultilevel"/>
    <w:tmpl w:val="5E9E4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47040D"/>
    <w:multiLevelType w:val="hybridMultilevel"/>
    <w:tmpl w:val="E4040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0D28CB"/>
    <w:rsid w:val="00102A71"/>
    <w:rsid w:val="00102E90"/>
    <w:rsid w:val="001045A1"/>
    <w:rsid w:val="0011432D"/>
    <w:rsid w:val="00162855"/>
    <w:rsid w:val="001A2D3C"/>
    <w:rsid w:val="001D6AEF"/>
    <w:rsid w:val="001D7D2C"/>
    <w:rsid w:val="001F36C5"/>
    <w:rsid w:val="00231DE2"/>
    <w:rsid w:val="00240D19"/>
    <w:rsid w:val="002A6C11"/>
    <w:rsid w:val="002C343A"/>
    <w:rsid w:val="002C5705"/>
    <w:rsid w:val="002E4164"/>
    <w:rsid w:val="0038398C"/>
    <w:rsid w:val="003841D8"/>
    <w:rsid w:val="00400A4B"/>
    <w:rsid w:val="00435C89"/>
    <w:rsid w:val="0048022E"/>
    <w:rsid w:val="004E63E1"/>
    <w:rsid w:val="00504166"/>
    <w:rsid w:val="0050509A"/>
    <w:rsid w:val="005B5E8B"/>
    <w:rsid w:val="005B7953"/>
    <w:rsid w:val="005D5927"/>
    <w:rsid w:val="00620E34"/>
    <w:rsid w:val="0068633C"/>
    <w:rsid w:val="006A75BC"/>
    <w:rsid w:val="008B1685"/>
    <w:rsid w:val="00935907"/>
    <w:rsid w:val="0094243E"/>
    <w:rsid w:val="009D3D94"/>
    <w:rsid w:val="009D62B4"/>
    <w:rsid w:val="009E3E60"/>
    <w:rsid w:val="00A109AA"/>
    <w:rsid w:val="00A16217"/>
    <w:rsid w:val="00A407E9"/>
    <w:rsid w:val="00A40AD6"/>
    <w:rsid w:val="00A85D4A"/>
    <w:rsid w:val="00B1715E"/>
    <w:rsid w:val="00BC4685"/>
    <w:rsid w:val="00C61C91"/>
    <w:rsid w:val="00CA68C2"/>
    <w:rsid w:val="00CD4DA5"/>
    <w:rsid w:val="00CF08F2"/>
    <w:rsid w:val="00CF09AD"/>
    <w:rsid w:val="00D32270"/>
    <w:rsid w:val="00D37AC5"/>
    <w:rsid w:val="00D5275A"/>
    <w:rsid w:val="00DA48FA"/>
    <w:rsid w:val="00DD2C34"/>
    <w:rsid w:val="00DD5297"/>
    <w:rsid w:val="00DE7446"/>
    <w:rsid w:val="00DF09C0"/>
    <w:rsid w:val="00DF3700"/>
    <w:rsid w:val="00E00508"/>
    <w:rsid w:val="00E1024E"/>
    <w:rsid w:val="00E23583"/>
    <w:rsid w:val="00E44647"/>
    <w:rsid w:val="00E630D1"/>
    <w:rsid w:val="00E73981"/>
    <w:rsid w:val="00E76442"/>
    <w:rsid w:val="00EA1BE6"/>
    <w:rsid w:val="00F55DB1"/>
    <w:rsid w:val="00F6035D"/>
    <w:rsid w:val="00FB5551"/>
    <w:rsid w:val="00FD1076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0FDF-EC13-4A98-9FA1-67EBA16A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15</cp:revision>
  <cp:lastPrinted>2017-11-28T23:51:00Z</cp:lastPrinted>
  <dcterms:created xsi:type="dcterms:W3CDTF">2019-09-16T00:14:00Z</dcterms:created>
  <dcterms:modified xsi:type="dcterms:W3CDTF">2019-11-28T04:36:00Z</dcterms:modified>
</cp:coreProperties>
</file>