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263D6D9" w14:textId="77777777" w:rsidR="00C61C91" w:rsidRDefault="00472685" w:rsidP="00400A4B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9C3DE4" wp14:editId="69FF19E2">
                <wp:simplePos x="0" y="0"/>
                <wp:positionH relativeFrom="column">
                  <wp:posOffset>-514350</wp:posOffset>
                </wp:positionH>
                <wp:positionV relativeFrom="paragraph">
                  <wp:posOffset>-620394</wp:posOffset>
                </wp:positionV>
                <wp:extent cx="7604760" cy="1447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760" cy="1447800"/>
                        </a:xfrm>
                        <a:prstGeom prst="rect">
                          <a:avLst/>
                        </a:prstGeom>
                        <a:solidFill>
                          <a:srgbClr val="003D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1C3EC" w14:textId="77777777" w:rsidR="00FD1D52" w:rsidRPr="002E4164" w:rsidRDefault="00E5249A" w:rsidP="00E05474">
                            <w:pPr>
                              <w:ind w:left="-142"/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Dubbo Health Service Diabetes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32000" tIns="32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C3DE4" id="Rectangle 1" o:spid="_x0000_s1026" style="position:absolute;margin-left:-40.5pt;margin-top:-48.85pt;width:598.8pt;height:11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" fillcolor="#003d69" stroked="f" strokeweight="2pt">
                <v:textbox inset="12mm,9mm">
                  <w:txbxContent>
                    <w:p w14:paraId="44C1C3EC" w14:textId="77777777" w:rsidR="00FD1D52" w:rsidRPr="002E4164" w:rsidRDefault="00E5249A" w:rsidP="00E05474">
                      <w:pPr>
                        <w:ind w:left="-142"/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sz w:val="56"/>
                          <w:szCs w:val="56"/>
                        </w:rPr>
                        <w:t>Dubbo Health Service Diabetes Unit</w:t>
                      </w:r>
                    </w:p>
                  </w:txbxContent>
                </v:textbox>
              </v:rect>
            </w:pict>
          </mc:Fallback>
        </mc:AlternateContent>
      </w:r>
      <w:r w:rsidR="00606336" w:rsidRPr="00FD1D52">
        <w:rPr>
          <w:noProof/>
          <w:lang w:eastAsia="en-AU"/>
        </w:rPr>
        <w:drawing>
          <wp:anchor distT="0" distB="0" distL="114300" distR="114300" simplePos="0" relativeHeight="251658752" behindDoc="0" locked="0" layoutInCell="1" allowOverlap="1" wp14:anchorId="7A90ECEF" wp14:editId="24DE7401">
            <wp:simplePos x="0" y="0"/>
            <wp:positionH relativeFrom="column">
              <wp:posOffset>4935855</wp:posOffset>
            </wp:positionH>
            <wp:positionV relativeFrom="paragraph">
              <wp:posOffset>-274320</wp:posOffset>
            </wp:positionV>
            <wp:extent cx="1647921" cy="1043940"/>
            <wp:effectExtent l="0" t="0" r="9525" b="3810"/>
            <wp:wrapNone/>
            <wp:docPr id="2" name="Picture 2" descr="P:\Communication\Branding\WNSW PHN Logo\PHN Western NSW Logo reve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\Branding\WNSW PHN Logo\PHN Western NSW Logo rever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921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6048B" w14:textId="77777777" w:rsidR="00FD1D52" w:rsidRDefault="00606336" w:rsidP="00FD1D52">
      <w:pPr>
        <w:spacing w:after="0"/>
        <w:jc w:val="right"/>
        <w:rPr>
          <w:color w:val="F79646" w:themeColor="accent6"/>
          <w:sz w:val="40"/>
          <w:szCs w:val="40"/>
        </w:rPr>
      </w:pPr>
      <w:r>
        <w:rPr>
          <w:noProof/>
          <w:color w:val="F79646" w:themeColor="accent6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15027D" wp14:editId="120D2AC3">
                <wp:simplePos x="0" y="0"/>
                <wp:positionH relativeFrom="column">
                  <wp:posOffset>-1304925</wp:posOffset>
                </wp:positionH>
                <wp:positionV relativeFrom="paragraph">
                  <wp:posOffset>217170</wp:posOffset>
                </wp:positionV>
                <wp:extent cx="4191000" cy="723900"/>
                <wp:effectExtent l="0" t="0" r="0" b="0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72390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502BC" w14:textId="77777777" w:rsidR="003841D8" w:rsidRPr="002E4164" w:rsidRDefault="00DA48FA" w:rsidP="002E4164">
                            <w:pPr>
                              <w:jc w:val="right"/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>Service d</w:t>
                            </w:r>
                            <w:r w:rsidR="002E4164" w:rsidRPr="002E4164"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>escription</w:t>
                            </w:r>
                          </w:p>
                          <w:p w14:paraId="14B6A5EA" w14:textId="77777777" w:rsidR="003841D8" w:rsidRDefault="003841D8" w:rsidP="003841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5027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7" type="#_x0000_t116" style="position:absolute;left:0;text-align:left;margin-left:-102.75pt;margin-top:17.1pt;width:330pt;height:5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" fillcolor="#dbe5f1 [660]" stroked="f" strokeweight="2pt">
                <v:textbox inset=",2mm,,0">
                  <w:txbxContent>
                    <w:p w14:paraId="283502BC" w14:textId="77777777" w:rsidR="003841D8" w:rsidRPr="002E4164" w:rsidRDefault="00DA48FA" w:rsidP="002E4164">
                      <w:pPr>
                        <w:jc w:val="right"/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  <w:t>Service d</w:t>
                      </w:r>
                      <w:r w:rsidR="002E4164" w:rsidRPr="002E4164"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  <w:t>escription</w:t>
                      </w:r>
                    </w:p>
                    <w:p w14:paraId="14B6A5EA" w14:textId="77777777" w:rsidR="003841D8" w:rsidRDefault="003841D8" w:rsidP="003841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592DCD" w14:textId="77777777" w:rsidR="00FD1D52" w:rsidRDefault="00FD1D52" w:rsidP="00FD1D52">
      <w:pPr>
        <w:pStyle w:val="Header"/>
      </w:pPr>
    </w:p>
    <w:p w14:paraId="523EDB20" w14:textId="77777777" w:rsidR="00C61C91" w:rsidRDefault="00C61C91" w:rsidP="00400A4B">
      <w:pPr>
        <w:spacing w:after="0"/>
      </w:pPr>
    </w:p>
    <w:p w14:paraId="506949AB" w14:textId="77777777" w:rsidR="003841D8" w:rsidRDefault="003841D8" w:rsidP="00400A4B">
      <w:pPr>
        <w:spacing w:after="0"/>
      </w:pPr>
    </w:p>
    <w:p w14:paraId="723C064D" w14:textId="77777777" w:rsidR="003841D8" w:rsidRDefault="003841D8" w:rsidP="00400A4B">
      <w:pPr>
        <w:spacing w:after="0"/>
      </w:pPr>
    </w:p>
    <w:p w14:paraId="03CAA85E" w14:textId="77777777" w:rsidR="00A10576" w:rsidRPr="002B3FFC" w:rsidRDefault="00A10576" w:rsidP="00400A4B">
      <w:pPr>
        <w:spacing w:after="0"/>
        <w:rPr>
          <w:sz w:val="16"/>
          <w:szCs w:val="16"/>
        </w:rPr>
      </w:pPr>
    </w:p>
    <w:tbl>
      <w:tblPr>
        <w:tblStyle w:val="TableGrid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7655"/>
      </w:tblGrid>
      <w:tr w:rsidR="004C48FD" w:rsidRPr="002E4164" w14:paraId="60821A46" w14:textId="77777777" w:rsidTr="00C41FF4">
        <w:trPr>
          <w:trHeight w:val="279"/>
        </w:trPr>
        <w:tc>
          <w:tcPr>
            <w:tcW w:w="10490" w:type="dxa"/>
            <w:gridSpan w:val="3"/>
            <w:shd w:val="clear" w:color="auto" w:fill="003D69"/>
          </w:tcPr>
          <w:p w14:paraId="10A9E34F" w14:textId="77777777" w:rsidR="004C48FD" w:rsidRDefault="004C48FD" w:rsidP="00E91C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Contact information</w:t>
            </w:r>
          </w:p>
        </w:tc>
      </w:tr>
      <w:tr w:rsidR="004C48FD" w:rsidRPr="002E4164" w14:paraId="598A340C" w14:textId="77777777" w:rsidTr="00721AF1">
        <w:trPr>
          <w:trHeight w:val="431"/>
        </w:trPr>
        <w:tc>
          <w:tcPr>
            <w:tcW w:w="2552" w:type="dxa"/>
          </w:tcPr>
          <w:p w14:paraId="7A36E1B1" w14:textId="77777777" w:rsidR="004C48FD" w:rsidRPr="00A16217" w:rsidRDefault="004C48FD" w:rsidP="0097404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283" w:type="dxa"/>
          </w:tcPr>
          <w:p w14:paraId="267D4394" w14:textId="77777777" w:rsidR="004C48FD" w:rsidRDefault="004C48FD" w:rsidP="009740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2E965D68" w14:textId="77777777" w:rsidR="004C48FD" w:rsidRPr="0097404B" w:rsidRDefault="005514BC" w:rsidP="00C914E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6809</w:t>
            </w:r>
            <w:r w:rsidR="00E5249A">
              <w:rPr>
                <w:rFonts w:ascii="Arial" w:hAnsi="Arial" w:cs="Arial"/>
              </w:rPr>
              <w:t xml:space="preserve"> 6250</w:t>
            </w:r>
          </w:p>
        </w:tc>
      </w:tr>
      <w:tr w:rsidR="004C48FD" w:rsidRPr="002E4164" w14:paraId="0E013000" w14:textId="77777777" w:rsidTr="00721AF1">
        <w:trPr>
          <w:trHeight w:val="411"/>
        </w:trPr>
        <w:tc>
          <w:tcPr>
            <w:tcW w:w="2552" w:type="dxa"/>
          </w:tcPr>
          <w:p w14:paraId="25FBA553" w14:textId="77777777" w:rsidR="004C48FD" w:rsidRDefault="004C48FD" w:rsidP="007B1944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283" w:type="dxa"/>
          </w:tcPr>
          <w:p w14:paraId="42022962" w14:textId="77777777" w:rsidR="004C48FD" w:rsidRDefault="004C48FD" w:rsidP="007B1944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67FA7256" w14:textId="1DAA9D5D" w:rsidR="004C48FD" w:rsidRPr="0097404B" w:rsidRDefault="00605092" w:rsidP="007B1944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6809 7259</w:t>
            </w:r>
          </w:p>
        </w:tc>
      </w:tr>
      <w:tr w:rsidR="004C48FD" w:rsidRPr="002E4164" w14:paraId="7FE2C6C0" w14:textId="77777777" w:rsidTr="00721AF1">
        <w:trPr>
          <w:trHeight w:val="477"/>
        </w:trPr>
        <w:tc>
          <w:tcPr>
            <w:tcW w:w="2552" w:type="dxa"/>
          </w:tcPr>
          <w:p w14:paraId="5E9B32E9" w14:textId="77777777" w:rsidR="004C48FD" w:rsidRPr="00A16217" w:rsidRDefault="004C48FD" w:rsidP="007B1944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Argus email</w:t>
            </w:r>
          </w:p>
        </w:tc>
        <w:tc>
          <w:tcPr>
            <w:tcW w:w="283" w:type="dxa"/>
          </w:tcPr>
          <w:p w14:paraId="02FCF65B" w14:textId="77777777" w:rsidR="004C48FD" w:rsidRDefault="004C48FD" w:rsidP="007B1944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3D83AF24" w14:textId="77777777" w:rsidR="004C48FD" w:rsidRPr="00101A31" w:rsidRDefault="00FE0280" w:rsidP="00E05474">
            <w:pPr>
              <w:rPr>
                <w:rFonts w:ascii="Arial" w:hAnsi="Arial" w:cs="Arial"/>
              </w:rPr>
            </w:pPr>
            <w:hyperlink r:id="rId9" w:history="1">
              <w:r w:rsidR="00E5249A" w:rsidRPr="001D0618">
                <w:rPr>
                  <w:rStyle w:val="Hyperlink"/>
                  <w:rFonts w:ascii="Arial" w:hAnsi="Arial" w:cs="Arial"/>
                </w:rPr>
                <w:t>WNSWLHD-ccdubdiab@health.nsw.gov.au</w:t>
              </w:r>
            </w:hyperlink>
          </w:p>
        </w:tc>
      </w:tr>
      <w:tr w:rsidR="004C48FD" w:rsidRPr="002E4164" w14:paraId="1EBE10D3" w14:textId="77777777" w:rsidTr="00A10576">
        <w:trPr>
          <w:trHeight w:val="323"/>
        </w:trPr>
        <w:tc>
          <w:tcPr>
            <w:tcW w:w="2552" w:type="dxa"/>
          </w:tcPr>
          <w:p w14:paraId="39EFC051" w14:textId="77777777" w:rsidR="004C48FD" w:rsidRPr="00A16217" w:rsidRDefault="004C48FD" w:rsidP="0097404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email</w:t>
            </w:r>
          </w:p>
        </w:tc>
        <w:tc>
          <w:tcPr>
            <w:tcW w:w="283" w:type="dxa"/>
          </w:tcPr>
          <w:p w14:paraId="3DB1B3F9" w14:textId="77777777" w:rsidR="004C48FD" w:rsidRDefault="004C48FD" w:rsidP="009740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65523B69" w14:textId="77777777" w:rsidR="004C48FD" w:rsidRDefault="004C48FD" w:rsidP="0097404B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4C48FD" w:rsidRPr="004C48FD" w14:paraId="762DDD74" w14:textId="77777777" w:rsidTr="00C41FF4">
        <w:trPr>
          <w:trHeight w:val="296"/>
        </w:trPr>
        <w:tc>
          <w:tcPr>
            <w:tcW w:w="10490" w:type="dxa"/>
            <w:gridSpan w:val="3"/>
            <w:shd w:val="clear" w:color="auto" w:fill="003D69"/>
          </w:tcPr>
          <w:p w14:paraId="7C9834C8" w14:textId="77777777" w:rsidR="004C48FD" w:rsidRPr="004C48FD" w:rsidRDefault="004C48FD" w:rsidP="00E91CD4">
            <w:pPr>
              <w:spacing w:after="0" w:line="257" w:lineRule="auto"/>
              <w:rPr>
                <w:rFonts w:ascii="Arial" w:hAnsi="Arial" w:cs="Arial"/>
              </w:rPr>
            </w:pPr>
            <w:r w:rsidRPr="004C48FD">
              <w:rPr>
                <w:rFonts w:ascii="Arial" w:hAnsi="Arial" w:cs="Arial"/>
                <w:b/>
              </w:rPr>
              <w:t>Personnel</w:t>
            </w:r>
          </w:p>
        </w:tc>
      </w:tr>
      <w:tr w:rsidR="0097404B" w:rsidRPr="002E4164" w14:paraId="5FBB975A" w14:textId="77777777" w:rsidTr="00721AF1">
        <w:trPr>
          <w:trHeight w:val="434"/>
        </w:trPr>
        <w:tc>
          <w:tcPr>
            <w:tcW w:w="2552" w:type="dxa"/>
          </w:tcPr>
          <w:p w14:paraId="5895B4A2" w14:textId="77777777" w:rsidR="0097404B" w:rsidRPr="00A16217" w:rsidRDefault="00E5249A" w:rsidP="0097404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Manager</w:t>
            </w:r>
            <w:r w:rsidR="0097404B" w:rsidRPr="00A16217">
              <w:rPr>
                <w:rFonts w:ascii="Arial" w:hAnsi="Arial" w:cs="Arial"/>
                <w:b/>
              </w:rPr>
              <w:t xml:space="preserve"> of department</w:t>
            </w:r>
          </w:p>
        </w:tc>
        <w:tc>
          <w:tcPr>
            <w:tcW w:w="283" w:type="dxa"/>
          </w:tcPr>
          <w:p w14:paraId="023F90AF" w14:textId="77777777" w:rsidR="0097404B" w:rsidRPr="00A10576" w:rsidRDefault="0097404B" w:rsidP="0097404B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5B9E3747" w14:textId="77777777" w:rsidR="0097404B" w:rsidRPr="00A10576" w:rsidRDefault="00E5249A" w:rsidP="0097404B">
            <w:pPr>
              <w:rPr>
                <w:rFonts w:ascii="Arial" w:hAnsi="Arial" w:cs="Arial"/>
              </w:rPr>
            </w:pPr>
            <w:r w:rsidRPr="00A10576">
              <w:rPr>
                <w:rFonts w:ascii="Arial" w:hAnsi="Arial" w:cs="Arial"/>
              </w:rPr>
              <w:t>Marisa Bolton</w:t>
            </w:r>
          </w:p>
        </w:tc>
      </w:tr>
      <w:tr w:rsidR="0097404B" w:rsidRPr="002E4164" w14:paraId="1C2B7AA2" w14:textId="77777777" w:rsidTr="00721AF1">
        <w:trPr>
          <w:trHeight w:val="690"/>
        </w:trPr>
        <w:tc>
          <w:tcPr>
            <w:tcW w:w="2552" w:type="dxa"/>
          </w:tcPr>
          <w:p w14:paraId="3AAA5281" w14:textId="77777777" w:rsidR="0097404B" w:rsidRPr="00A16217" w:rsidRDefault="0097404B" w:rsidP="0097404B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A16217">
              <w:rPr>
                <w:rFonts w:ascii="Arial" w:hAnsi="Arial" w:cs="Arial"/>
                <w:b/>
              </w:rPr>
              <w:t>Type of health professionals</w:t>
            </w:r>
          </w:p>
        </w:tc>
        <w:tc>
          <w:tcPr>
            <w:tcW w:w="283" w:type="dxa"/>
          </w:tcPr>
          <w:p w14:paraId="332BED8A" w14:textId="77777777" w:rsidR="0097404B" w:rsidRPr="00A10576" w:rsidRDefault="0097404B" w:rsidP="0097404B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37449655" w14:textId="77777777" w:rsidR="0097404B" w:rsidRPr="00A10576" w:rsidRDefault="00E5249A" w:rsidP="004A6D46">
            <w:pPr>
              <w:spacing w:after="0" w:line="276" w:lineRule="auto"/>
              <w:rPr>
                <w:rFonts w:ascii="Arial" w:hAnsi="Arial" w:cs="Arial"/>
              </w:rPr>
            </w:pPr>
            <w:r w:rsidRPr="00A10576">
              <w:rPr>
                <w:rFonts w:ascii="Arial" w:hAnsi="Arial" w:cs="Arial"/>
              </w:rPr>
              <w:t>Endocrinologist</w:t>
            </w:r>
            <w:r w:rsidR="00721AF1" w:rsidRPr="00A10576">
              <w:rPr>
                <w:rFonts w:ascii="Arial" w:hAnsi="Arial" w:cs="Arial"/>
              </w:rPr>
              <w:t>s</w:t>
            </w:r>
          </w:p>
          <w:p w14:paraId="5D48147E" w14:textId="77777777" w:rsidR="00E5249A" w:rsidRPr="00A10576" w:rsidRDefault="00E5249A" w:rsidP="004A6D46">
            <w:pPr>
              <w:spacing w:after="0" w:line="276" w:lineRule="auto"/>
              <w:rPr>
                <w:rFonts w:ascii="Arial" w:hAnsi="Arial" w:cs="Arial"/>
              </w:rPr>
            </w:pPr>
            <w:r w:rsidRPr="00A10576">
              <w:rPr>
                <w:rFonts w:ascii="Arial" w:hAnsi="Arial" w:cs="Arial"/>
              </w:rPr>
              <w:t>Diabetes Educator</w:t>
            </w:r>
          </w:p>
          <w:p w14:paraId="314708E8" w14:textId="77777777" w:rsidR="00E5249A" w:rsidRPr="00A10576" w:rsidRDefault="00E5249A" w:rsidP="004A6D46">
            <w:pPr>
              <w:spacing w:after="0" w:line="276" w:lineRule="auto"/>
              <w:rPr>
                <w:rFonts w:ascii="Arial" w:hAnsi="Arial" w:cs="Arial"/>
              </w:rPr>
            </w:pPr>
            <w:r w:rsidRPr="00A10576">
              <w:rPr>
                <w:rFonts w:ascii="Arial" w:hAnsi="Arial" w:cs="Arial"/>
              </w:rPr>
              <w:t>Paediatrician</w:t>
            </w:r>
          </w:p>
          <w:p w14:paraId="0D2D6BAD" w14:textId="77777777" w:rsidR="00E5249A" w:rsidRPr="00A10576" w:rsidRDefault="00E5249A" w:rsidP="004A6D46">
            <w:pPr>
              <w:spacing w:after="0" w:line="276" w:lineRule="auto"/>
              <w:rPr>
                <w:rFonts w:ascii="Arial" w:hAnsi="Arial" w:cs="Arial"/>
              </w:rPr>
            </w:pPr>
            <w:r w:rsidRPr="00A10576">
              <w:rPr>
                <w:rFonts w:ascii="Arial" w:hAnsi="Arial" w:cs="Arial"/>
              </w:rPr>
              <w:t>Podiatrist</w:t>
            </w:r>
          </w:p>
          <w:p w14:paraId="22887296" w14:textId="77777777" w:rsidR="00E5249A" w:rsidRPr="00A10576" w:rsidRDefault="00E5249A" w:rsidP="004A6D46">
            <w:pPr>
              <w:spacing w:after="0" w:line="276" w:lineRule="auto"/>
              <w:rPr>
                <w:rFonts w:ascii="Arial" w:hAnsi="Arial" w:cs="Arial"/>
              </w:rPr>
            </w:pPr>
            <w:r w:rsidRPr="00A10576">
              <w:rPr>
                <w:rFonts w:ascii="Arial" w:hAnsi="Arial" w:cs="Arial"/>
              </w:rPr>
              <w:t>Dietitian</w:t>
            </w:r>
          </w:p>
          <w:p w14:paraId="67A0BACF" w14:textId="77777777" w:rsidR="00E5249A" w:rsidRPr="00A10576" w:rsidRDefault="00E5249A" w:rsidP="004A6D46">
            <w:pPr>
              <w:spacing w:after="0" w:line="276" w:lineRule="auto"/>
              <w:rPr>
                <w:rFonts w:ascii="Arial" w:hAnsi="Arial" w:cs="Arial"/>
              </w:rPr>
            </w:pPr>
            <w:r w:rsidRPr="00A10576">
              <w:rPr>
                <w:rFonts w:ascii="Arial" w:hAnsi="Arial" w:cs="Arial"/>
              </w:rPr>
              <w:t>Aboriginal Health Practitioner</w:t>
            </w:r>
          </w:p>
        </w:tc>
      </w:tr>
      <w:tr w:rsidR="0097404B" w:rsidRPr="002E4164" w14:paraId="37C25485" w14:textId="77777777" w:rsidTr="00721AF1">
        <w:trPr>
          <w:trHeight w:val="306"/>
        </w:trPr>
        <w:tc>
          <w:tcPr>
            <w:tcW w:w="2552" w:type="dxa"/>
          </w:tcPr>
          <w:p w14:paraId="3A89D743" w14:textId="77777777" w:rsidR="00605092" w:rsidRDefault="00605092" w:rsidP="0097404B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4B0C4DC0" w14:textId="4100109B" w:rsidR="0097404B" w:rsidRPr="00A16217" w:rsidRDefault="0097404B" w:rsidP="0097404B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professionals</w:t>
            </w:r>
          </w:p>
        </w:tc>
        <w:tc>
          <w:tcPr>
            <w:tcW w:w="283" w:type="dxa"/>
          </w:tcPr>
          <w:p w14:paraId="320FA1BB" w14:textId="77777777" w:rsidR="0097404B" w:rsidRPr="00A10576" w:rsidRDefault="0097404B" w:rsidP="0097404B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78939783" w14:textId="77777777" w:rsidR="00605092" w:rsidRDefault="00605092" w:rsidP="00721AF1">
            <w:pPr>
              <w:spacing w:after="0" w:line="240" w:lineRule="auto"/>
              <w:rPr>
                <w:rFonts w:ascii="Arial" w:hAnsi="Arial" w:cs="Arial"/>
              </w:rPr>
            </w:pPr>
          </w:p>
          <w:p w14:paraId="1CBC5AC1" w14:textId="5513EDB8" w:rsidR="00AA0B00" w:rsidRDefault="00E5249A" w:rsidP="00721AF1">
            <w:pPr>
              <w:spacing w:after="0" w:line="240" w:lineRule="auto"/>
              <w:rPr>
                <w:rFonts w:ascii="Arial" w:hAnsi="Arial" w:cs="Arial"/>
              </w:rPr>
            </w:pPr>
            <w:r w:rsidRPr="00A10576">
              <w:rPr>
                <w:rFonts w:ascii="Arial" w:hAnsi="Arial" w:cs="Arial"/>
              </w:rPr>
              <w:t>Endocrinologist Dr Ted Wu (1.5 days monthly and telehealth weekly)</w:t>
            </w:r>
            <w:r w:rsidR="00721AF1" w:rsidRPr="00A10576">
              <w:rPr>
                <w:rFonts w:ascii="Arial" w:hAnsi="Arial" w:cs="Arial"/>
              </w:rPr>
              <w:t xml:space="preserve">, </w:t>
            </w:r>
          </w:p>
          <w:p w14:paraId="00F24D19" w14:textId="264E5E13" w:rsidR="00E5249A" w:rsidRPr="00A10576" w:rsidRDefault="00E5249A" w:rsidP="00721AF1">
            <w:pPr>
              <w:spacing w:after="0" w:line="240" w:lineRule="auto"/>
              <w:rPr>
                <w:rFonts w:ascii="Arial" w:hAnsi="Arial" w:cs="Arial"/>
              </w:rPr>
            </w:pPr>
            <w:r w:rsidRPr="00A10576">
              <w:rPr>
                <w:rFonts w:ascii="Arial" w:hAnsi="Arial" w:cs="Arial"/>
              </w:rPr>
              <w:t xml:space="preserve">Dr </w:t>
            </w:r>
            <w:proofErr w:type="spellStart"/>
            <w:r w:rsidRPr="00A10576">
              <w:rPr>
                <w:rFonts w:ascii="Arial" w:hAnsi="Arial" w:cs="Arial"/>
              </w:rPr>
              <w:t>Jen</w:t>
            </w:r>
            <w:r w:rsidR="00286C22">
              <w:rPr>
                <w:rFonts w:ascii="Arial" w:hAnsi="Arial" w:cs="Arial"/>
              </w:rPr>
              <w:t>cia</w:t>
            </w:r>
            <w:proofErr w:type="spellEnd"/>
            <w:r w:rsidRPr="00A10576">
              <w:rPr>
                <w:rFonts w:ascii="Arial" w:hAnsi="Arial" w:cs="Arial"/>
              </w:rPr>
              <w:t xml:space="preserve"> Wong (1.5 days monthly</w:t>
            </w:r>
            <w:r w:rsidR="00DE1A20">
              <w:rPr>
                <w:rFonts w:ascii="Arial" w:hAnsi="Arial" w:cs="Arial"/>
              </w:rPr>
              <w:t xml:space="preserve"> plus </w:t>
            </w:r>
            <w:r w:rsidR="00605092">
              <w:rPr>
                <w:rFonts w:ascii="Arial" w:hAnsi="Arial" w:cs="Arial"/>
              </w:rPr>
              <w:t>t</w:t>
            </w:r>
            <w:r w:rsidR="00DE1A20">
              <w:rPr>
                <w:rFonts w:ascii="Arial" w:hAnsi="Arial" w:cs="Arial"/>
              </w:rPr>
              <w:t xml:space="preserve">elehealth 2 hours / week) </w:t>
            </w:r>
          </w:p>
          <w:p w14:paraId="6A846749" w14:textId="55452849" w:rsidR="0097404B" w:rsidRPr="00A10576" w:rsidRDefault="00E5249A" w:rsidP="00721AF1">
            <w:pPr>
              <w:spacing w:after="0" w:line="240" w:lineRule="auto"/>
              <w:rPr>
                <w:rFonts w:ascii="Arial" w:hAnsi="Arial" w:cs="Arial"/>
              </w:rPr>
            </w:pPr>
            <w:r w:rsidRPr="00A10576">
              <w:rPr>
                <w:rFonts w:ascii="Arial" w:hAnsi="Arial" w:cs="Arial"/>
              </w:rPr>
              <w:t>Nurse Manager/Diabetes Educator Marisa Bolton</w:t>
            </w:r>
          </w:p>
          <w:p w14:paraId="747B45FE" w14:textId="545E874B" w:rsidR="00AA0B00" w:rsidRDefault="00E5249A" w:rsidP="00721AF1">
            <w:pPr>
              <w:spacing w:after="0" w:line="240" w:lineRule="auto"/>
              <w:rPr>
                <w:rFonts w:ascii="Arial" w:hAnsi="Arial" w:cs="Arial"/>
              </w:rPr>
            </w:pPr>
            <w:r w:rsidRPr="00A10576">
              <w:rPr>
                <w:rFonts w:ascii="Arial" w:hAnsi="Arial" w:cs="Arial"/>
              </w:rPr>
              <w:t>Diabetes Educator Ruth Hamilton (FT), Jayne Nichols (PT)</w:t>
            </w:r>
          </w:p>
          <w:p w14:paraId="38390AD9" w14:textId="77777777" w:rsidR="00E5249A" w:rsidRPr="00A10576" w:rsidRDefault="00E5249A" w:rsidP="00721AF1">
            <w:pPr>
              <w:spacing w:after="0" w:line="240" w:lineRule="auto"/>
              <w:rPr>
                <w:rFonts w:ascii="Arial" w:hAnsi="Arial" w:cs="Arial"/>
              </w:rPr>
            </w:pPr>
            <w:r w:rsidRPr="00A10576">
              <w:rPr>
                <w:rFonts w:ascii="Arial" w:hAnsi="Arial" w:cs="Arial"/>
              </w:rPr>
              <w:t>Clare Tancred (PT)</w:t>
            </w:r>
          </w:p>
          <w:p w14:paraId="7F61FE1F" w14:textId="77777777" w:rsidR="00E5249A" w:rsidRPr="00A10576" w:rsidRDefault="00E5249A" w:rsidP="00721AF1">
            <w:pPr>
              <w:spacing w:after="0" w:line="240" w:lineRule="auto"/>
              <w:rPr>
                <w:rFonts w:ascii="Arial" w:hAnsi="Arial" w:cs="Arial"/>
              </w:rPr>
            </w:pPr>
            <w:r w:rsidRPr="00A10576">
              <w:rPr>
                <w:rFonts w:ascii="Arial" w:hAnsi="Arial" w:cs="Arial"/>
              </w:rPr>
              <w:t xml:space="preserve">Aboriginal Health Practitioner – Debbie </w:t>
            </w:r>
            <w:proofErr w:type="spellStart"/>
            <w:r w:rsidRPr="00A10576">
              <w:rPr>
                <w:rFonts w:ascii="Arial" w:hAnsi="Arial" w:cs="Arial"/>
              </w:rPr>
              <w:t>Beahan</w:t>
            </w:r>
            <w:proofErr w:type="spellEnd"/>
            <w:r w:rsidRPr="00A10576">
              <w:rPr>
                <w:rFonts w:ascii="Arial" w:hAnsi="Arial" w:cs="Arial"/>
              </w:rPr>
              <w:t xml:space="preserve"> &amp; Craig Johnson</w:t>
            </w:r>
          </w:p>
          <w:p w14:paraId="6D5EDC8D" w14:textId="77777777" w:rsidR="00E5249A" w:rsidRPr="00A10576" w:rsidRDefault="00E5249A" w:rsidP="00721AF1">
            <w:pPr>
              <w:spacing w:after="0" w:line="240" w:lineRule="auto"/>
              <w:rPr>
                <w:rFonts w:ascii="Arial" w:hAnsi="Arial" w:cs="Arial"/>
              </w:rPr>
            </w:pPr>
            <w:r w:rsidRPr="00A10576">
              <w:rPr>
                <w:rFonts w:ascii="Arial" w:hAnsi="Arial" w:cs="Arial"/>
              </w:rPr>
              <w:t xml:space="preserve">Paediatrician – Dr Jacky </w:t>
            </w:r>
            <w:proofErr w:type="spellStart"/>
            <w:r w:rsidRPr="00A10576">
              <w:rPr>
                <w:rFonts w:ascii="Arial" w:hAnsi="Arial" w:cs="Arial"/>
              </w:rPr>
              <w:t>Askwith</w:t>
            </w:r>
            <w:proofErr w:type="spellEnd"/>
            <w:r w:rsidRPr="00A10576">
              <w:rPr>
                <w:rFonts w:ascii="Arial" w:hAnsi="Arial" w:cs="Arial"/>
              </w:rPr>
              <w:t xml:space="preserve"> (2 days per month)</w:t>
            </w:r>
          </w:p>
          <w:p w14:paraId="113EF825" w14:textId="17B78402" w:rsidR="00721AF1" w:rsidRPr="00A10576" w:rsidRDefault="00721AF1" w:rsidP="00721AF1">
            <w:pPr>
              <w:spacing w:after="0" w:line="240" w:lineRule="auto"/>
              <w:rPr>
                <w:rFonts w:ascii="Arial" w:hAnsi="Arial" w:cs="Arial"/>
              </w:rPr>
            </w:pPr>
            <w:r w:rsidRPr="00A10576">
              <w:rPr>
                <w:rFonts w:ascii="Arial" w:hAnsi="Arial" w:cs="Arial"/>
              </w:rPr>
              <w:t>Dietitian</w:t>
            </w:r>
            <w:r w:rsidR="001D5B43">
              <w:rPr>
                <w:rFonts w:ascii="Arial" w:hAnsi="Arial" w:cs="Arial"/>
              </w:rPr>
              <w:t>s</w:t>
            </w:r>
            <w:r w:rsidRPr="00A10576">
              <w:rPr>
                <w:rFonts w:ascii="Arial" w:hAnsi="Arial" w:cs="Arial"/>
              </w:rPr>
              <w:t xml:space="preserve"> –</w:t>
            </w:r>
            <w:proofErr w:type="spellStart"/>
            <w:r w:rsidR="001D5B43">
              <w:rPr>
                <w:rFonts w:ascii="Arial" w:hAnsi="Arial" w:cs="Arial"/>
              </w:rPr>
              <w:t>Elesha</w:t>
            </w:r>
            <w:proofErr w:type="spellEnd"/>
            <w:r w:rsidR="001D5B43">
              <w:rPr>
                <w:rFonts w:ascii="Arial" w:hAnsi="Arial" w:cs="Arial"/>
              </w:rPr>
              <w:t xml:space="preserve"> O’Conner &amp; Ellen</w:t>
            </w:r>
            <w:r w:rsidR="00605092">
              <w:rPr>
                <w:rFonts w:ascii="Arial" w:hAnsi="Arial" w:cs="Arial"/>
              </w:rPr>
              <w:t xml:space="preserve"> Payne </w:t>
            </w:r>
            <w:r w:rsidR="00286C22">
              <w:rPr>
                <w:rFonts w:ascii="Arial" w:hAnsi="Arial" w:cs="Arial"/>
              </w:rPr>
              <w:t>(2</w:t>
            </w:r>
            <w:r w:rsidRPr="00A10576">
              <w:rPr>
                <w:rFonts w:ascii="Arial" w:hAnsi="Arial" w:cs="Arial"/>
              </w:rPr>
              <w:t xml:space="preserve"> day</w:t>
            </w:r>
            <w:r w:rsidR="00286C22">
              <w:rPr>
                <w:rFonts w:ascii="Arial" w:hAnsi="Arial" w:cs="Arial"/>
              </w:rPr>
              <w:t>s</w:t>
            </w:r>
            <w:r w:rsidR="00605092">
              <w:rPr>
                <w:rFonts w:ascii="Arial" w:hAnsi="Arial" w:cs="Arial"/>
              </w:rPr>
              <w:t xml:space="preserve"> </w:t>
            </w:r>
            <w:r w:rsidR="001D5B43">
              <w:rPr>
                <w:rFonts w:ascii="Arial" w:hAnsi="Arial" w:cs="Arial"/>
              </w:rPr>
              <w:t>/</w:t>
            </w:r>
            <w:r w:rsidR="00605092">
              <w:rPr>
                <w:rFonts w:ascii="Arial" w:hAnsi="Arial" w:cs="Arial"/>
              </w:rPr>
              <w:t xml:space="preserve"> </w:t>
            </w:r>
            <w:r w:rsidRPr="00A10576">
              <w:rPr>
                <w:rFonts w:ascii="Arial" w:hAnsi="Arial" w:cs="Arial"/>
              </w:rPr>
              <w:t>week)</w:t>
            </w:r>
          </w:p>
        </w:tc>
      </w:tr>
      <w:tr w:rsidR="0097404B" w:rsidRPr="002E4164" w14:paraId="5DBAE5BE" w14:textId="77777777" w:rsidTr="002D13F3">
        <w:trPr>
          <w:trHeight w:val="470"/>
        </w:trPr>
        <w:tc>
          <w:tcPr>
            <w:tcW w:w="2552" w:type="dxa"/>
          </w:tcPr>
          <w:p w14:paraId="460C63F3" w14:textId="77777777" w:rsidR="00605092" w:rsidRDefault="00605092" w:rsidP="0097404B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35314B2F" w14:textId="49791AF7" w:rsidR="0097404B" w:rsidRPr="00A16217" w:rsidRDefault="0097404B" w:rsidP="0097404B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A16217">
              <w:rPr>
                <w:rFonts w:ascii="Arial" w:hAnsi="Arial" w:cs="Arial"/>
                <w:b/>
              </w:rPr>
              <w:t>For advice after hours, contact:</w:t>
            </w:r>
          </w:p>
        </w:tc>
        <w:tc>
          <w:tcPr>
            <w:tcW w:w="283" w:type="dxa"/>
          </w:tcPr>
          <w:p w14:paraId="3F1E0DE2" w14:textId="77777777" w:rsidR="0097404B" w:rsidRPr="00A10576" w:rsidRDefault="0097404B" w:rsidP="0097404B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4EFC52C4" w14:textId="77777777" w:rsidR="00605092" w:rsidRDefault="00605092" w:rsidP="0097404B">
            <w:pPr>
              <w:spacing w:after="120" w:line="240" w:lineRule="auto"/>
              <w:rPr>
                <w:rFonts w:ascii="Arial" w:hAnsi="Arial" w:cs="Arial"/>
              </w:rPr>
            </w:pPr>
          </w:p>
          <w:p w14:paraId="7F077FB3" w14:textId="64634288" w:rsidR="0097404B" w:rsidRPr="00A10576" w:rsidRDefault="00E5249A" w:rsidP="0097404B">
            <w:pPr>
              <w:spacing w:after="120" w:line="240" w:lineRule="auto"/>
              <w:rPr>
                <w:rFonts w:ascii="Arial" w:hAnsi="Arial" w:cs="Arial"/>
              </w:rPr>
            </w:pPr>
            <w:r w:rsidRPr="00A10576">
              <w:rPr>
                <w:rFonts w:ascii="Arial" w:hAnsi="Arial" w:cs="Arial"/>
              </w:rPr>
              <w:t xml:space="preserve">No </w:t>
            </w:r>
            <w:r w:rsidR="00192A18" w:rsidRPr="00A10576">
              <w:rPr>
                <w:rFonts w:ascii="Arial" w:hAnsi="Arial" w:cs="Arial"/>
              </w:rPr>
              <w:t>After-Hours</w:t>
            </w:r>
            <w:r w:rsidRPr="00A10576">
              <w:rPr>
                <w:rFonts w:ascii="Arial" w:hAnsi="Arial" w:cs="Arial"/>
              </w:rPr>
              <w:t xml:space="preserve"> Service</w:t>
            </w:r>
          </w:p>
        </w:tc>
      </w:tr>
      <w:tr w:rsidR="0097404B" w:rsidRPr="002E4164" w14:paraId="0DEE5020" w14:textId="77777777" w:rsidTr="00C41FF4">
        <w:trPr>
          <w:trHeight w:val="279"/>
        </w:trPr>
        <w:tc>
          <w:tcPr>
            <w:tcW w:w="10490" w:type="dxa"/>
            <w:gridSpan w:val="3"/>
            <w:shd w:val="clear" w:color="auto" w:fill="003D69"/>
          </w:tcPr>
          <w:p w14:paraId="660CA3A1" w14:textId="77777777" w:rsidR="0097404B" w:rsidRDefault="0097404B" w:rsidP="009740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Other information</w:t>
            </w:r>
          </w:p>
        </w:tc>
      </w:tr>
      <w:tr w:rsidR="0097404B" w:rsidRPr="004C48FD" w14:paraId="4C339216" w14:textId="77777777" w:rsidTr="00B83EAF">
        <w:trPr>
          <w:trHeight w:val="2519"/>
        </w:trPr>
        <w:tc>
          <w:tcPr>
            <w:tcW w:w="10490" w:type="dxa"/>
            <w:gridSpan w:val="3"/>
          </w:tcPr>
          <w:p w14:paraId="0A84A00A" w14:textId="77777777" w:rsidR="00546F77" w:rsidRPr="00A10576" w:rsidRDefault="00546F77" w:rsidP="0097404B">
            <w:pPr>
              <w:spacing w:after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576">
              <w:rPr>
                <w:rFonts w:ascii="Arial" w:hAnsi="Arial" w:cs="Arial"/>
                <w:sz w:val="20"/>
                <w:szCs w:val="20"/>
              </w:rPr>
              <w:t xml:space="preserve">The following referrals will be put on a waiting list (which may be 12-18 </w:t>
            </w:r>
            <w:proofErr w:type="spellStart"/>
            <w:r w:rsidRPr="00A10576">
              <w:rPr>
                <w:rFonts w:ascii="Arial" w:hAnsi="Arial" w:cs="Arial"/>
                <w:sz w:val="20"/>
                <w:szCs w:val="20"/>
              </w:rPr>
              <w:t>mths</w:t>
            </w:r>
            <w:proofErr w:type="spellEnd"/>
            <w:r w:rsidRPr="00A10576">
              <w:rPr>
                <w:rFonts w:ascii="Arial" w:hAnsi="Arial" w:cs="Arial"/>
                <w:sz w:val="20"/>
                <w:szCs w:val="20"/>
              </w:rPr>
              <w:t xml:space="preserve">) – </w:t>
            </w:r>
          </w:p>
          <w:p w14:paraId="1CFC4CE4" w14:textId="2C8B0BF2" w:rsidR="00546F77" w:rsidRPr="00A10576" w:rsidRDefault="00546F77" w:rsidP="00546F77">
            <w:pPr>
              <w:pStyle w:val="ListParagraph"/>
              <w:numPr>
                <w:ilvl w:val="0"/>
                <w:numId w:val="3"/>
              </w:numPr>
              <w:spacing w:after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576">
              <w:rPr>
                <w:rFonts w:ascii="Arial" w:hAnsi="Arial" w:cs="Arial"/>
                <w:sz w:val="20"/>
                <w:szCs w:val="20"/>
              </w:rPr>
              <w:t>Type 2 Diabetes HbA1c&lt;9%(86mmol/mol) on sub</w:t>
            </w:r>
            <w:r w:rsidR="004F7031">
              <w:rPr>
                <w:rFonts w:ascii="Arial" w:hAnsi="Arial" w:cs="Arial"/>
                <w:sz w:val="20"/>
                <w:szCs w:val="20"/>
              </w:rPr>
              <w:t xml:space="preserve">optimal </w:t>
            </w:r>
            <w:r w:rsidRPr="00A10576">
              <w:rPr>
                <w:rFonts w:ascii="Arial" w:hAnsi="Arial" w:cs="Arial"/>
                <w:sz w:val="20"/>
                <w:szCs w:val="20"/>
              </w:rPr>
              <w:t xml:space="preserve">oral agents.  These may be offered a Dietitian and/or Education appointment while waiting for clinic appointment.  </w:t>
            </w:r>
            <w:r w:rsidR="00DA63C8" w:rsidRPr="00A10576">
              <w:rPr>
                <w:rFonts w:ascii="Arial" w:hAnsi="Arial" w:cs="Arial"/>
                <w:sz w:val="20"/>
                <w:szCs w:val="20"/>
              </w:rPr>
              <w:t>Please send separate referral if this is indicated.</w:t>
            </w:r>
          </w:p>
          <w:p w14:paraId="161E9595" w14:textId="77777777" w:rsidR="00DA63C8" w:rsidRPr="00A10576" w:rsidRDefault="00DA63C8" w:rsidP="00546F77">
            <w:pPr>
              <w:pStyle w:val="ListParagraph"/>
              <w:numPr>
                <w:ilvl w:val="0"/>
                <w:numId w:val="3"/>
              </w:numPr>
              <w:spacing w:after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576">
              <w:rPr>
                <w:rFonts w:ascii="Arial" w:hAnsi="Arial" w:cs="Arial"/>
                <w:sz w:val="20"/>
                <w:szCs w:val="20"/>
              </w:rPr>
              <w:t xml:space="preserve">Patients </w:t>
            </w:r>
            <w:r w:rsidR="00286C2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Pr="00A10576">
              <w:rPr>
                <w:rFonts w:ascii="Arial" w:hAnsi="Arial" w:cs="Arial"/>
                <w:sz w:val="20"/>
                <w:szCs w:val="20"/>
              </w:rPr>
              <w:t>Bourke, Brewarrina, Enngonia should be referred to local visiting Endocrinologist</w:t>
            </w:r>
          </w:p>
          <w:p w14:paraId="2E5D24EF" w14:textId="77777777" w:rsidR="00DA63C8" w:rsidRPr="00A10576" w:rsidRDefault="00DA63C8" w:rsidP="00546F77">
            <w:pPr>
              <w:pStyle w:val="ListParagraph"/>
              <w:numPr>
                <w:ilvl w:val="0"/>
                <w:numId w:val="3"/>
              </w:numPr>
              <w:spacing w:after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576">
              <w:rPr>
                <w:rFonts w:ascii="Arial" w:hAnsi="Arial" w:cs="Arial"/>
                <w:sz w:val="20"/>
                <w:szCs w:val="20"/>
              </w:rPr>
              <w:t>Patients from</w:t>
            </w:r>
            <w:r w:rsidR="00286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0576">
              <w:rPr>
                <w:rFonts w:ascii="Arial" w:hAnsi="Arial" w:cs="Arial"/>
                <w:sz w:val="20"/>
                <w:szCs w:val="20"/>
              </w:rPr>
              <w:t>Mudgee, Gulgong and Rylstone should be referred to Endocrinologist that provides telehealth to Mudgee GP surgeries</w:t>
            </w:r>
          </w:p>
          <w:p w14:paraId="465EBA51" w14:textId="77777777" w:rsidR="00DA63C8" w:rsidRPr="00A10576" w:rsidRDefault="00DA63C8" w:rsidP="00546F77">
            <w:pPr>
              <w:pStyle w:val="ListParagraph"/>
              <w:numPr>
                <w:ilvl w:val="0"/>
                <w:numId w:val="3"/>
              </w:numPr>
              <w:spacing w:after="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576">
              <w:rPr>
                <w:rFonts w:ascii="Arial" w:hAnsi="Arial" w:cs="Arial"/>
                <w:sz w:val="20"/>
                <w:szCs w:val="20"/>
              </w:rPr>
              <w:t>Patients from Lighting Ridge, Walgett, Goodooga should be referred to Endocrinologist that provides telehealth to this area</w:t>
            </w:r>
          </w:p>
          <w:p w14:paraId="3B1E98EE" w14:textId="215A95E7" w:rsidR="00DA63C8" w:rsidRDefault="00DA63C8" w:rsidP="002D13F3">
            <w:pPr>
              <w:spacing w:after="0"/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A10576">
              <w:rPr>
                <w:rFonts w:ascii="Arial" w:hAnsi="Arial" w:cs="Arial"/>
                <w:sz w:val="20"/>
                <w:szCs w:val="20"/>
              </w:rPr>
              <w:t>Please note patient will be seen 6 monthly face to face by Endocrinologist (unless Pregnant) – if more frequent appointments are necessary review telehealth appointments will be offered.   Patients will be discharged from Endocrinologist at the discretion of the Endocrinologist.  A letter will be sent back to the referring Doctor after every consultation.</w:t>
            </w:r>
          </w:p>
          <w:p w14:paraId="1FDDC4B2" w14:textId="77777777" w:rsidR="002D13F3" w:rsidRPr="00A10576" w:rsidRDefault="002D13F3" w:rsidP="002D13F3">
            <w:pPr>
              <w:spacing w:after="0"/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19CF992A" w14:textId="77777777" w:rsidR="00DA63C8" w:rsidRPr="00DA63C8" w:rsidRDefault="00DA63C8" w:rsidP="00DA63C8">
            <w:pPr>
              <w:spacing w:after="0"/>
              <w:ind w:right="180"/>
              <w:jc w:val="center"/>
              <w:rPr>
                <w:rFonts w:ascii="Arial" w:hAnsi="Arial" w:cs="Arial"/>
                <w:i/>
                <w:u w:val="single"/>
              </w:rPr>
            </w:pPr>
            <w:r w:rsidRPr="00A10576">
              <w:rPr>
                <w:rFonts w:ascii="Arial" w:hAnsi="Arial" w:cs="Arial"/>
                <w:i/>
                <w:sz w:val="20"/>
                <w:szCs w:val="20"/>
                <w:u w:val="single"/>
              </w:rPr>
              <w:t>The above are for guidance and requirements based on individual considerations can always be discussed</w:t>
            </w:r>
          </w:p>
        </w:tc>
      </w:tr>
    </w:tbl>
    <w:p w14:paraId="717827D0" w14:textId="77777777" w:rsidR="006A75BC" w:rsidRDefault="006A75BC" w:rsidP="00B83EAF">
      <w:pPr>
        <w:spacing w:after="0"/>
      </w:pPr>
    </w:p>
    <w:sectPr w:rsidR="006A75BC" w:rsidSect="00A105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1A69C" w14:textId="77777777" w:rsidR="00575979" w:rsidRDefault="00575979" w:rsidP="00C61C91">
      <w:pPr>
        <w:spacing w:after="0" w:line="240" w:lineRule="auto"/>
      </w:pPr>
      <w:r>
        <w:separator/>
      </w:r>
    </w:p>
  </w:endnote>
  <w:endnote w:type="continuationSeparator" w:id="0">
    <w:p w14:paraId="743DB2BD" w14:textId="77777777" w:rsidR="00575979" w:rsidRDefault="00575979" w:rsidP="00C6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E6C7C" w14:textId="77777777" w:rsidR="00925380" w:rsidRDefault="00925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A34A5" w14:textId="77777777" w:rsidR="006A75BC" w:rsidRDefault="006A75B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79A223" wp14:editId="754DCD16">
              <wp:simplePos x="0" y="0"/>
              <wp:positionH relativeFrom="column">
                <wp:posOffset>-464820</wp:posOffset>
              </wp:positionH>
              <wp:positionV relativeFrom="paragraph">
                <wp:posOffset>-188595</wp:posOffset>
              </wp:positionV>
              <wp:extent cx="7559040" cy="800100"/>
              <wp:effectExtent l="0" t="0" r="381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800100"/>
                      </a:xfrm>
                      <a:prstGeom prst="rect">
                        <a:avLst/>
                      </a:prstGeom>
                      <a:solidFill>
                        <a:srgbClr val="003D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5DAD52" w14:textId="77777777" w:rsidR="006A75BC" w:rsidRPr="006A75BC" w:rsidRDefault="006A75BC" w:rsidP="006A75BC">
                          <w:pPr>
                            <w:pStyle w:val="NormalWeb"/>
                            <w:spacing w:after="0"/>
                            <w:ind w:left="284" w:right="369"/>
                            <w:jc w:val="both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</w:pP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This information is presented by the </w:t>
                          </w:r>
                          <w:r w:rsidRPr="006A75BC">
                            <w:rPr>
                              <w:rStyle w:val="Strong"/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Western NSW Primary Health Network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for the purpose of distributing health information to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general practices and frontline health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service providers. None of this information is intended to be, or implied to be professional medical advice, and should not be treated as such. If you have any questions about a medical matter, or if you think you may be suffering from a medical condition, you should immediately contact a suitably qualified doctor or healthcare professional. The </w:t>
                          </w:r>
                          <w:r w:rsidRPr="006A75BC">
                            <w:rPr>
                              <w:rStyle w:val="Strong"/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Western NSW Primary Health Network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 does not accept any liability for any injury, loss or damage incurred by use of or reliance on the information provided in this document.</w:t>
                          </w:r>
                        </w:p>
                        <w:p w14:paraId="5ECECD1F" w14:textId="77777777" w:rsidR="006A75BC" w:rsidRDefault="006A75BC" w:rsidP="006A75B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79A223" id="Rectangle 6" o:spid="_x0000_s1028" style="position:absolute;margin-left:-36.6pt;margin-top:-14.85pt;width:595.2pt;height:63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" fillcolor="#003d69" stroked="f" strokeweight="2pt">
              <v:textbox>
                <w:txbxContent>
                  <w:p w14:paraId="025DAD52" w14:textId="77777777" w:rsidR="006A75BC" w:rsidRPr="006A75BC" w:rsidRDefault="006A75BC" w:rsidP="006A75BC">
                    <w:pPr>
                      <w:pStyle w:val="NormalWeb"/>
                      <w:spacing w:after="0"/>
                      <w:ind w:left="284" w:right="369"/>
                      <w:jc w:val="both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</w:pP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This information is presented by the </w:t>
                    </w:r>
                    <w:r w:rsidRPr="006A75BC">
                      <w:rPr>
                        <w:rStyle w:val="Strong"/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Western NSW Primary Health Network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for the purpose of distributing health information to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general practices and frontline health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service providers. None of this information is intended to be, or implied to be professional medical advice, and should not be treated as such. If you have any questions about a medical matter, or if you think you may be suffering from a medical condition, you should immediately contact a suitably qualified doctor or healthcare professional. The </w:t>
                    </w:r>
                    <w:r w:rsidRPr="006A75BC">
                      <w:rPr>
                        <w:rStyle w:val="Strong"/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>Western NSW Primary Health Network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 does not accept any liability for any injury, loss or damage incurred by use of or reliance on the information provided in this document.</w:t>
                    </w:r>
                  </w:p>
                  <w:p w14:paraId="5ECECD1F" w14:textId="77777777" w:rsidR="006A75BC" w:rsidRDefault="006A75BC" w:rsidP="006A75B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FEBC8" w14:textId="77777777" w:rsidR="00925380" w:rsidRDefault="00925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DF7E8" w14:textId="77777777" w:rsidR="00575979" w:rsidRDefault="00575979" w:rsidP="00C61C91">
      <w:pPr>
        <w:spacing w:after="0" w:line="240" w:lineRule="auto"/>
      </w:pPr>
      <w:r>
        <w:separator/>
      </w:r>
    </w:p>
  </w:footnote>
  <w:footnote w:type="continuationSeparator" w:id="0">
    <w:p w14:paraId="36E5114F" w14:textId="77777777" w:rsidR="00575979" w:rsidRDefault="00575979" w:rsidP="00C6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BB28" w14:textId="77777777" w:rsidR="00925380" w:rsidRDefault="00925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12CB" w14:textId="38601CBF" w:rsidR="00925380" w:rsidRDefault="009253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5F81" w14:textId="77777777" w:rsidR="00925380" w:rsidRDefault="009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2358C"/>
    <w:multiLevelType w:val="hybridMultilevel"/>
    <w:tmpl w:val="91700926"/>
    <w:lvl w:ilvl="0" w:tplc="C55038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35E18"/>
    <w:multiLevelType w:val="hybridMultilevel"/>
    <w:tmpl w:val="138AE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95FED"/>
    <w:multiLevelType w:val="hybridMultilevel"/>
    <w:tmpl w:val="8F1E1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4B"/>
    <w:rsid w:val="00001A24"/>
    <w:rsid w:val="00035526"/>
    <w:rsid w:val="0004725B"/>
    <w:rsid w:val="000860CA"/>
    <w:rsid w:val="000C740C"/>
    <w:rsid w:val="00101A31"/>
    <w:rsid w:val="00102A71"/>
    <w:rsid w:val="0011432D"/>
    <w:rsid w:val="00162855"/>
    <w:rsid w:val="00192A18"/>
    <w:rsid w:val="001D333F"/>
    <w:rsid w:val="001D5B43"/>
    <w:rsid w:val="001D6AEF"/>
    <w:rsid w:val="001D7D2C"/>
    <w:rsid w:val="001E240E"/>
    <w:rsid w:val="001E52E8"/>
    <w:rsid w:val="00240D19"/>
    <w:rsid w:val="00286C22"/>
    <w:rsid w:val="002B3FFC"/>
    <w:rsid w:val="002D13F3"/>
    <w:rsid w:val="002E4164"/>
    <w:rsid w:val="00364E73"/>
    <w:rsid w:val="0038398C"/>
    <w:rsid w:val="003841D8"/>
    <w:rsid w:val="00384EE1"/>
    <w:rsid w:val="00400A4B"/>
    <w:rsid w:val="00425607"/>
    <w:rsid w:val="00431580"/>
    <w:rsid w:val="00435C89"/>
    <w:rsid w:val="00472685"/>
    <w:rsid w:val="004A6D46"/>
    <w:rsid w:val="004C48FD"/>
    <w:rsid w:val="004D02B2"/>
    <w:rsid w:val="004F7031"/>
    <w:rsid w:val="0050509A"/>
    <w:rsid w:val="00546F77"/>
    <w:rsid w:val="005514BC"/>
    <w:rsid w:val="00575979"/>
    <w:rsid w:val="005B7953"/>
    <w:rsid w:val="00605092"/>
    <w:rsid w:val="00606336"/>
    <w:rsid w:val="00620E34"/>
    <w:rsid w:val="006A75BC"/>
    <w:rsid w:val="006D7157"/>
    <w:rsid w:val="00721AF1"/>
    <w:rsid w:val="007A411D"/>
    <w:rsid w:val="007B1944"/>
    <w:rsid w:val="007F1361"/>
    <w:rsid w:val="0088663E"/>
    <w:rsid w:val="00925380"/>
    <w:rsid w:val="00926A43"/>
    <w:rsid w:val="0094243E"/>
    <w:rsid w:val="00965725"/>
    <w:rsid w:val="0097404B"/>
    <w:rsid w:val="00A10576"/>
    <w:rsid w:val="00A16217"/>
    <w:rsid w:val="00A1760D"/>
    <w:rsid w:val="00A40AD6"/>
    <w:rsid w:val="00A85D4A"/>
    <w:rsid w:val="00AA0B00"/>
    <w:rsid w:val="00AB6750"/>
    <w:rsid w:val="00B1715E"/>
    <w:rsid w:val="00B357DF"/>
    <w:rsid w:val="00B50D8C"/>
    <w:rsid w:val="00B5635D"/>
    <w:rsid w:val="00B83EAF"/>
    <w:rsid w:val="00BC5683"/>
    <w:rsid w:val="00C41FF4"/>
    <w:rsid w:val="00C61C91"/>
    <w:rsid w:val="00C914E4"/>
    <w:rsid w:val="00C97EE1"/>
    <w:rsid w:val="00CA68C2"/>
    <w:rsid w:val="00CF09AD"/>
    <w:rsid w:val="00D13150"/>
    <w:rsid w:val="00D37AC5"/>
    <w:rsid w:val="00DA48FA"/>
    <w:rsid w:val="00DA63C8"/>
    <w:rsid w:val="00DA6942"/>
    <w:rsid w:val="00DE1A20"/>
    <w:rsid w:val="00E016DF"/>
    <w:rsid w:val="00E05474"/>
    <w:rsid w:val="00E1024E"/>
    <w:rsid w:val="00E5249A"/>
    <w:rsid w:val="00E8314F"/>
    <w:rsid w:val="00E91CD4"/>
    <w:rsid w:val="00FC4408"/>
    <w:rsid w:val="00FD1D52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B0F1A2"/>
  <w15:docId w15:val="{ACE08553-EC92-49FA-ADBD-9DF63167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A4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A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9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C91"/>
  </w:style>
  <w:style w:type="paragraph" w:styleId="Footer">
    <w:name w:val="footer"/>
    <w:basedOn w:val="Normal"/>
    <w:link w:val="FooterChar"/>
    <w:uiPriority w:val="99"/>
    <w:unhideWhenUsed/>
    <w:rsid w:val="00C6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C91"/>
  </w:style>
  <w:style w:type="paragraph" w:styleId="NormalWeb">
    <w:name w:val="Normal (Web)"/>
    <w:basedOn w:val="Normal"/>
    <w:uiPriority w:val="99"/>
    <w:unhideWhenUsed/>
    <w:rsid w:val="001D7D2C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D7D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4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4EE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E1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A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NSWLHD-ccdubdiab@health.nsw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37A0C-7AEA-494E-A320-16D7022F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WLHN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Kathleen Ryan</cp:lastModifiedBy>
  <cp:revision>11</cp:revision>
  <cp:lastPrinted>2018-07-20T03:28:00Z</cp:lastPrinted>
  <dcterms:created xsi:type="dcterms:W3CDTF">2018-07-20T00:29:00Z</dcterms:created>
  <dcterms:modified xsi:type="dcterms:W3CDTF">2019-11-05T05:12:00Z</dcterms:modified>
</cp:coreProperties>
</file>